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4B0CC3" w14:textId="77777777" w:rsidR="005A69AE" w:rsidRPr="0087361F" w:rsidRDefault="005A69AE" w:rsidP="005A69AE">
      <w:pPr>
        <w:pStyle w:val="Heading1"/>
      </w:pPr>
      <w:r w:rsidRPr="00A50B78">
        <w:t>Strategic Planning Capstone</w:t>
      </w:r>
    </w:p>
    <w:p w14:paraId="3C356131" w14:textId="77777777" w:rsidR="005A69AE" w:rsidRDefault="005A69AE" w:rsidP="005A69AE">
      <w:pPr>
        <w:pStyle w:val="Heading2"/>
      </w:pPr>
      <w:r w:rsidRPr="00A50B78">
        <w:t>5-year Strategic Plan Scenario</w:t>
      </w:r>
    </w:p>
    <w:p w14:paraId="66DE7229" w14:textId="77777777" w:rsidR="005A69AE" w:rsidRDefault="005A69AE" w:rsidP="005A69AE">
      <w:pPr>
        <w:pStyle w:val="Heading3"/>
      </w:pPr>
      <w:r w:rsidRPr="00A50B78">
        <w:t>Background</w:t>
      </w:r>
    </w:p>
    <w:p w14:paraId="7ECE752B" w14:textId="77777777" w:rsidR="005A69AE" w:rsidRDefault="005A69AE" w:rsidP="005A69AE">
      <w:r w:rsidRPr="00E01AA9">
        <w:t xml:space="preserve">Phoenix Hospital is a 180-bed acute care hospital that is qualified as a not-for-profit facility. The hospital was originally owned by the county and transferred status to an independent facility three years ago. The hospital receives no external funding from governmental agencies for operations. The hospital is accredited by The Joint Commission and received re-accreditation during its triannual survey last year. The hospital has an aggressive quality management program and a low volume of medical malpractice claims. The hospital </w:t>
      </w:r>
      <w:proofErr w:type="gramStart"/>
      <w:r w:rsidRPr="00E01AA9">
        <w:t>is located in</w:t>
      </w:r>
      <w:proofErr w:type="gramEnd"/>
      <w:r w:rsidRPr="00E01AA9">
        <w:t xml:space="preserve"> Bedford, which is a city of 50,000 with 80,000 in the regional market. The hospital provides a general range of acute care services including medical/surgical, rehab, and emergency care. The president of the hospital has asked you to lead the development of a 5-year strategic plan for the hospital. You will use data provided in this scenario to make your decisions and recommendations.</w:t>
      </w:r>
    </w:p>
    <w:p w14:paraId="5171F080" w14:textId="77777777" w:rsidR="005A69AE" w:rsidRDefault="005A69AE" w:rsidP="005A69AE">
      <w:r w:rsidRPr="00E01AA9">
        <w:t xml:space="preserve">In addition to </w:t>
      </w:r>
      <w:proofErr w:type="gramStart"/>
      <w:r w:rsidRPr="00E01AA9">
        <w:t>information</w:t>
      </w:r>
      <w:proofErr w:type="gramEnd"/>
      <w:r w:rsidRPr="00E01AA9">
        <w:t xml:space="preserve"> provided in this scenario, you are expected to include information from outside sources that are relevant to real-life events and projections for today’s health care market. This would include any actual market projections based on changes to health care reform and financing</w:t>
      </w:r>
      <w:r w:rsidRPr="003024A6">
        <w:t>.</w:t>
      </w:r>
    </w:p>
    <w:p w14:paraId="1B243E56" w14:textId="77777777" w:rsidR="005A69AE" w:rsidRDefault="005A69AE" w:rsidP="005A69AE">
      <w:pPr>
        <w:pStyle w:val="Heading3"/>
      </w:pPr>
      <w:r w:rsidRPr="00567A59">
        <w:t>Market Forces that Affect the Hospital</w:t>
      </w:r>
    </w:p>
    <w:p w14:paraId="587828EE" w14:textId="77777777" w:rsidR="005A69AE" w:rsidRDefault="005A69AE" w:rsidP="005A69AE">
      <w:pPr>
        <w:pStyle w:val="Heading4"/>
      </w:pPr>
      <w:r w:rsidRPr="00567A59">
        <w:t>Volumes</w:t>
      </w:r>
    </w:p>
    <w:p w14:paraId="14C71B70" w14:textId="77777777" w:rsidR="005A69AE" w:rsidRDefault="005A69AE" w:rsidP="005A69AE">
      <w:r w:rsidRPr="00531F8E">
        <w:rPr>
          <w:noProof/>
          <w:color w:val="4D3733"/>
          <w:sz w:val="24"/>
          <w:szCs w:val="24"/>
        </w:rPr>
        <w:drawing>
          <wp:inline distT="0" distB="0" distL="0" distR="0" wp14:anchorId="52FA2D2B" wp14:editId="62A39E9D">
            <wp:extent cx="5486400" cy="3200400"/>
            <wp:effectExtent l="0" t="0" r="0" b="0"/>
            <wp:docPr id="1" name="Chart 1" descr="A bar chart showing volume changes in hospital services between the last year and this year. Admission for the previous year was 4458, and this year was 5147. ER visits in the year before were 20930 and grew to 26292 this year. Deliveries in the last year were 405 and this year it was 472. The number of surgeries last year was 6365 and 7284 this yea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5745D86" w14:textId="77777777" w:rsidR="005A69AE" w:rsidRDefault="005A69AE" w:rsidP="005A69AE">
      <w:pPr>
        <w:spacing w:before="0" w:after="160" w:line="259" w:lineRule="auto"/>
        <w:rPr>
          <w:b/>
          <w:bCs/>
          <w:sz w:val="28"/>
          <w:szCs w:val="28"/>
        </w:rPr>
      </w:pPr>
      <w:r>
        <w:br w:type="page"/>
      </w:r>
    </w:p>
    <w:p w14:paraId="4C349C3F" w14:textId="77777777" w:rsidR="005A69AE" w:rsidRDefault="005A69AE" w:rsidP="005A69AE">
      <w:pPr>
        <w:pStyle w:val="Heading4"/>
      </w:pPr>
      <w:r w:rsidRPr="00F35480">
        <w:lastRenderedPageBreak/>
        <w:t>Patients</w:t>
      </w:r>
    </w:p>
    <w:p w14:paraId="195AEA11" w14:textId="77777777" w:rsidR="005A69AE" w:rsidRDefault="005A69AE" w:rsidP="005A69AE">
      <w:r w:rsidRPr="00F35480">
        <w:t>The continued growth of chronic disease will require changes to the care management model.</w:t>
      </w:r>
    </w:p>
    <w:p w14:paraId="4FD24519" w14:textId="77777777" w:rsidR="005A69AE" w:rsidRPr="00FB576C" w:rsidRDefault="005A69AE" w:rsidP="005A69AE">
      <w:pPr>
        <w:spacing w:before="120"/>
        <w:rPr>
          <w:b/>
          <w:bCs/>
        </w:rPr>
      </w:pPr>
      <w:r w:rsidRPr="00FB576C">
        <w:rPr>
          <w:b/>
          <w:bCs/>
        </w:rPr>
        <w:t>Percent of Population by Age</w:t>
      </w:r>
    </w:p>
    <w:tbl>
      <w:tblPr>
        <w:tblStyle w:val="TableGrid"/>
        <w:tblW w:w="9805"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Percent of Population by Age"/>
      </w:tblPr>
      <w:tblGrid>
        <w:gridCol w:w="2515"/>
        <w:gridCol w:w="3645"/>
        <w:gridCol w:w="3645"/>
      </w:tblGrid>
      <w:tr w:rsidR="005A69AE" w:rsidRPr="005C3975" w14:paraId="44ACCC03" w14:textId="77777777" w:rsidTr="00197C35">
        <w:trPr>
          <w:cantSplit/>
          <w:tblHeader/>
        </w:trPr>
        <w:tc>
          <w:tcPr>
            <w:tcW w:w="2515" w:type="dxa"/>
            <w:shd w:val="clear" w:color="auto" w:fill="B3E5A1" w:themeFill="accent6" w:themeFillTint="66"/>
            <w:vAlign w:val="center"/>
            <w:hideMark/>
          </w:tcPr>
          <w:p w14:paraId="50B1AF64" w14:textId="77777777" w:rsidR="005A69AE" w:rsidRPr="00C22E72" w:rsidRDefault="005A69AE" w:rsidP="00197C35">
            <w:pPr>
              <w:pStyle w:val="Tabletext"/>
              <w:jc w:val="center"/>
              <w:rPr>
                <w:b/>
                <w:bCs/>
              </w:rPr>
            </w:pPr>
            <w:r w:rsidRPr="00C22E72">
              <w:rPr>
                <w:b/>
                <w:bCs/>
              </w:rPr>
              <w:t>Age Group</w:t>
            </w:r>
          </w:p>
        </w:tc>
        <w:tc>
          <w:tcPr>
            <w:tcW w:w="3645" w:type="dxa"/>
            <w:shd w:val="clear" w:color="auto" w:fill="B3E5A1" w:themeFill="accent6" w:themeFillTint="66"/>
            <w:vAlign w:val="center"/>
            <w:hideMark/>
          </w:tcPr>
          <w:p w14:paraId="4BA26AF7" w14:textId="77777777" w:rsidR="005A69AE" w:rsidRPr="00C22E72" w:rsidRDefault="005A69AE" w:rsidP="00197C35">
            <w:pPr>
              <w:pStyle w:val="Tabletext"/>
              <w:jc w:val="center"/>
              <w:rPr>
                <w:b/>
                <w:bCs/>
              </w:rPr>
            </w:pPr>
            <w:r w:rsidRPr="00C22E72">
              <w:rPr>
                <w:b/>
                <w:bCs/>
              </w:rPr>
              <w:t xml:space="preserve">Five years </w:t>
            </w:r>
            <w:proofErr w:type="gramStart"/>
            <w:r w:rsidRPr="00C22E72">
              <w:rPr>
                <w:b/>
                <w:bCs/>
              </w:rPr>
              <w:t>ago</w:t>
            </w:r>
            <w:proofErr w:type="gramEnd"/>
          </w:p>
        </w:tc>
        <w:tc>
          <w:tcPr>
            <w:tcW w:w="3645" w:type="dxa"/>
            <w:shd w:val="clear" w:color="auto" w:fill="B3E5A1" w:themeFill="accent6" w:themeFillTint="66"/>
            <w:vAlign w:val="center"/>
          </w:tcPr>
          <w:p w14:paraId="30EE6531" w14:textId="77777777" w:rsidR="005A69AE" w:rsidRPr="00C22E72" w:rsidRDefault="005A69AE" w:rsidP="00197C35">
            <w:pPr>
              <w:pStyle w:val="Tabletext"/>
              <w:jc w:val="center"/>
              <w:rPr>
                <w:b/>
                <w:bCs/>
              </w:rPr>
            </w:pPr>
            <w:r w:rsidRPr="00C22E72">
              <w:rPr>
                <w:b/>
                <w:bCs/>
              </w:rPr>
              <w:t>Five years from now</w:t>
            </w:r>
          </w:p>
        </w:tc>
      </w:tr>
      <w:tr w:rsidR="005A69AE" w:rsidRPr="00E74CBA" w14:paraId="756B4126" w14:textId="77777777" w:rsidTr="00197C35">
        <w:tc>
          <w:tcPr>
            <w:tcW w:w="2515" w:type="dxa"/>
          </w:tcPr>
          <w:p w14:paraId="341B664F" w14:textId="77777777" w:rsidR="005A69AE" w:rsidRPr="007871C3" w:rsidRDefault="005A69AE" w:rsidP="00197C35">
            <w:pPr>
              <w:pStyle w:val="Tabletext"/>
            </w:pPr>
            <w:r w:rsidRPr="00F33D67">
              <w:t>Under 18</w:t>
            </w:r>
          </w:p>
        </w:tc>
        <w:tc>
          <w:tcPr>
            <w:tcW w:w="3645" w:type="dxa"/>
          </w:tcPr>
          <w:p w14:paraId="1A30A8A9" w14:textId="77777777" w:rsidR="005A69AE" w:rsidRPr="00E74CBA" w:rsidRDefault="005A69AE" w:rsidP="00197C35">
            <w:pPr>
              <w:pStyle w:val="Tabletext"/>
              <w:jc w:val="center"/>
            </w:pPr>
            <w:r>
              <w:t>24</w:t>
            </w:r>
          </w:p>
        </w:tc>
        <w:tc>
          <w:tcPr>
            <w:tcW w:w="3645" w:type="dxa"/>
          </w:tcPr>
          <w:p w14:paraId="57C32B91" w14:textId="77777777" w:rsidR="005A69AE" w:rsidRPr="00E74CBA" w:rsidRDefault="005A69AE" w:rsidP="00197C35">
            <w:pPr>
              <w:pStyle w:val="Tabletext"/>
              <w:jc w:val="center"/>
            </w:pPr>
            <w:r>
              <w:t>18</w:t>
            </w:r>
          </w:p>
        </w:tc>
      </w:tr>
      <w:tr w:rsidR="005A69AE" w:rsidRPr="00E74CBA" w14:paraId="676C969E" w14:textId="77777777" w:rsidTr="00197C35">
        <w:tc>
          <w:tcPr>
            <w:tcW w:w="2515" w:type="dxa"/>
          </w:tcPr>
          <w:p w14:paraId="2EAF4917" w14:textId="77777777" w:rsidR="005A69AE" w:rsidRPr="00E74CBA" w:rsidRDefault="005A69AE" w:rsidP="00197C35">
            <w:pPr>
              <w:pStyle w:val="Tabletext"/>
            </w:pPr>
            <w:r w:rsidRPr="00F33D67">
              <w:t>18 to 44</w:t>
            </w:r>
          </w:p>
        </w:tc>
        <w:tc>
          <w:tcPr>
            <w:tcW w:w="3645" w:type="dxa"/>
          </w:tcPr>
          <w:p w14:paraId="1593BB9E" w14:textId="77777777" w:rsidR="005A69AE" w:rsidRPr="00E74CBA" w:rsidRDefault="005A69AE" w:rsidP="00197C35">
            <w:pPr>
              <w:pStyle w:val="Tabletext"/>
              <w:jc w:val="center"/>
            </w:pPr>
            <w:r>
              <w:t>46</w:t>
            </w:r>
          </w:p>
        </w:tc>
        <w:tc>
          <w:tcPr>
            <w:tcW w:w="3645" w:type="dxa"/>
          </w:tcPr>
          <w:p w14:paraId="5F916215" w14:textId="77777777" w:rsidR="005A69AE" w:rsidRPr="00E74CBA" w:rsidRDefault="005A69AE" w:rsidP="00197C35">
            <w:pPr>
              <w:pStyle w:val="Tabletext"/>
              <w:jc w:val="center"/>
            </w:pPr>
            <w:r>
              <w:t>32</w:t>
            </w:r>
          </w:p>
        </w:tc>
      </w:tr>
      <w:tr w:rsidR="005A69AE" w:rsidRPr="00E74CBA" w14:paraId="70DCE9A4" w14:textId="77777777" w:rsidTr="00197C35">
        <w:tc>
          <w:tcPr>
            <w:tcW w:w="2515" w:type="dxa"/>
          </w:tcPr>
          <w:p w14:paraId="4BDB272E" w14:textId="77777777" w:rsidR="005A69AE" w:rsidRPr="00E74CBA" w:rsidRDefault="005A69AE" w:rsidP="00197C35">
            <w:pPr>
              <w:pStyle w:val="Tabletext"/>
            </w:pPr>
            <w:r w:rsidRPr="00F33D67">
              <w:t>45 to 65</w:t>
            </w:r>
          </w:p>
        </w:tc>
        <w:tc>
          <w:tcPr>
            <w:tcW w:w="3645" w:type="dxa"/>
          </w:tcPr>
          <w:p w14:paraId="317AEC40" w14:textId="77777777" w:rsidR="005A69AE" w:rsidRPr="00E74CBA" w:rsidRDefault="005A69AE" w:rsidP="00197C35">
            <w:pPr>
              <w:pStyle w:val="Tabletext"/>
              <w:jc w:val="center"/>
            </w:pPr>
            <w:r>
              <w:t>24</w:t>
            </w:r>
          </w:p>
        </w:tc>
        <w:tc>
          <w:tcPr>
            <w:tcW w:w="3645" w:type="dxa"/>
          </w:tcPr>
          <w:p w14:paraId="53C6133D" w14:textId="77777777" w:rsidR="005A69AE" w:rsidRPr="00E74CBA" w:rsidRDefault="005A69AE" w:rsidP="00197C35">
            <w:pPr>
              <w:pStyle w:val="Tabletext"/>
              <w:jc w:val="center"/>
            </w:pPr>
            <w:r>
              <w:t>30</w:t>
            </w:r>
          </w:p>
        </w:tc>
      </w:tr>
      <w:tr w:rsidR="005A69AE" w:rsidRPr="00E74CBA" w14:paraId="5FC26C93" w14:textId="77777777" w:rsidTr="00197C35">
        <w:tc>
          <w:tcPr>
            <w:tcW w:w="2515" w:type="dxa"/>
          </w:tcPr>
          <w:p w14:paraId="65FC3AA7" w14:textId="77777777" w:rsidR="005A69AE" w:rsidRPr="00F33D67" w:rsidRDefault="005A69AE" w:rsidP="00197C35">
            <w:pPr>
              <w:pStyle w:val="Tabletext"/>
            </w:pPr>
            <w:r w:rsidRPr="00F33D67">
              <w:t>Over 65</w:t>
            </w:r>
          </w:p>
        </w:tc>
        <w:tc>
          <w:tcPr>
            <w:tcW w:w="3645" w:type="dxa"/>
          </w:tcPr>
          <w:p w14:paraId="1862FF19" w14:textId="77777777" w:rsidR="005A69AE" w:rsidRPr="00E74CBA" w:rsidRDefault="005A69AE" w:rsidP="00197C35">
            <w:pPr>
              <w:pStyle w:val="Tabletext"/>
              <w:jc w:val="center"/>
            </w:pPr>
            <w:r>
              <w:t>4</w:t>
            </w:r>
          </w:p>
        </w:tc>
        <w:tc>
          <w:tcPr>
            <w:tcW w:w="3645" w:type="dxa"/>
          </w:tcPr>
          <w:p w14:paraId="28E1212C" w14:textId="77777777" w:rsidR="005A69AE" w:rsidRPr="00E74CBA" w:rsidRDefault="005A69AE" w:rsidP="00197C35">
            <w:pPr>
              <w:pStyle w:val="Tabletext"/>
              <w:jc w:val="center"/>
            </w:pPr>
            <w:r>
              <w:t>20</w:t>
            </w:r>
          </w:p>
        </w:tc>
      </w:tr>
    </w:tbl>
    <w:p w14:paraId="40CC2A34" w14:textId="77777777" w:rsidR="005A69AE" w:rsidRDefault="005A69AE" w:rsidP="005A69AE">
      <w:pPr>
        <w:spacing w:before="120"/>
      </w:pPr>
      <w:r w:rsidRPr="00E01AA9">
        <w:t xml:space="preserve">More than 53% of residents have at least some college </w:t>
      </w:r>
      <w:proofErr w:type="gramStart"/>
      <w:r w:rsidRPr="00E01AA9">
        <w:t>education</w:t>
      </w:r>
      <w:proofErr w:type="gramEnd"/>
      <w:r w:rsidRPr="00E01AA9">
        <w:t>, with just more than 29% having an associates, bachelor’s, or graduate degree. More than 90 percent of residents have at least a high school diploma.</w:t>
      </w:r>
      <w:r>
        <w:t xml:space="preserve"> </w:t>
      </w:r>
    </w:p>
    <w:p w14:paraId="737BEED2" w14:textId="77777777" w:rsidR="005A69AE" w:rsidRDefault="005A69AE" w:rsidP="005A69AE">
      <w:r>
        <w:t>The average unemployment rate in the county is currently 9.9%.</w:t>
      </w:r>
    </w:p>
    <w:p w14:paraId="7485D7A3" w14:textId="77777777" w:rsidR="005A69AE" w:rsidRPr="00B62606" w:rsidRDefault="005A69AE" w:rsidP="005A69AE">
      <w:pPr>
        <w:spacing w:before="120"/>
        <w:rPr>
          <w:b/>
          <w:bCs/>
        </w:rPr>
      </w:pPr>
      <w:r w:rsidRPr="00B62606">
        <w:rPr>
          <w:b/>
          <w:bCs/>
        </w:rPr>
        <w:t>Market share distribution percentage with major competitor.</w:t>
      </w:r>
    </w:p>
    <w:tbl>
      <w:tblPr>
        <w:tblStyle w:val="TableGrid"/>
        <w:tblW w:w="9805"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Market share distribution percentage with major competitor."/>
      </w:tblPr>
      <w:tblGrid>
        <w:gridCol w:w="2515"/>
        <w:gridCol w:w="3645"/>
        <w:gridCol w:w="3645"/>
      </w:tblGrid>
      <w:tr w:rsidR="005A69AE" w:rsidRPr="005C3975" w14:paraId="129F2852" w14:textId="77777777" w:rsidTr="00197C35">
        <w:trPr>
          <w:cantSplit/>
          <w:tblHeader/>
        </w:trPr>
        <w:tc>
          <w:tcPr>
            <w:tcW w:w="2515" w:type="dxa"/>
            <w:tcBorders>
              <w:top w:val="single" w:sz="4" w:space="0" w:color="000000" w:themeColor="text1"/>
              <w:left w:val="single" w:sz="4" w:space="0" w:color="000000" w:themeColor="text1"/>
              <w:bottom w:val="single" w:sz="4" w:space="0" w:color="000000" w:themeColor="text1"/>
              <w:right w:val="single" w:sz="4" w:space="0" w:color="196B24" w:themeColor="accent3"/>
            </w:tcBorders>
            <w:shd w:val="clear" w:color="auto" w:fill="B3E5A1" w:themeFill="accent6" w:themeFillTint="66"/>
            <w:vAlign w:val="center"/>
            <w:hideMark/>
          </w:tcPr>
          <w:p w14:paraId="4DAE710A" w14:textId="77777777" w:rsidR="005A69AE" w:rsidRPr="00C22E72" w:rsidRDefault="005A69AE" w:rsidP="00197C35">
            <w:pPr>
              <w:pStyle w:val="Tabletext"/>
              <w:jc w:val="center"/>
              <w:rPr>
                <w:b/>
                <w:bCs/>
              </w:rPr>
            </w:pPr>
            <w:r w:rsidRPr="00C22E72">
              <w:rPr>
                <w:b/>
                <w:bCs/>
              </w:rPr>
              <w:t>Hospitals</w:t>
            </w:r>
          </w:p>
        </w:tc>
        <w:tc>
          <w:tcPr>
            <w:tcW w:w="3645" w:type="dxa"/>
            <w:tcBorders>
              <w:top w:val="single" w:sz="4" w:space="0" w:color="000000" w:themeColor="text1"/>
              <w:left w:val="single" w:sz="4" w:space="0" w:color="196B24" w:themeColor="accent3"/>
              <w:bottom w:val="single" w:sz="4" w:space="0" w:color="000000" w:themeColor="text1"/>
              <w:right w:val="single" w:sz="4" w:space="0" w:color="196B24" w:themeColor="accent3"/>
            </w:tcBorders>
            <w:shd w:val="clear" w:color="auto" w:fill="B3E5A1" w:themeFill="accent6" w:themeFillTint="66"/>
            <w:vAlign w:val="center"/>
            <w:hideMark/>
          </w:tcPr>
          <w:p w14:paraId="38336AF8" w14:textId="77777777" w:rsidR="005A69AE" w:rsidRPr="00C22E72" w:rsidRDefault="005A69AE" w:rsidP="00197C35">
            <w:pPr>
              <w:pStyle w:val="Tabletext"/>
              <w:jc w:val="center"/>
              <w:rPr>
                <w:b/>
                <w:bCs/>
              </w:rPr>
            </w:pPr>
            <w:r w:rsidRPr="00C22E72">
              <w:rPr>
                <w:b/>
                <w:bCs/>
              </w:rPr>
              <w:t xml:space="preserve">5 years </w:t>
            </w:r>
            <w:proofErr w:type="gramStart"/>
            <w:r w:rsidRPr="00C22E72">
              <w:rPr>
                <w:b/>
                <w:bCs/>
              </w:rPr>
              <w:t>ago</w:t>
            </w:r>
            <w:proofErr w:type="gramEnd"/>
          </w:p>
        </w:tc>
        <w:tc>
          <w:tcPr>
            <w:tcW w:w="3645" w:type="dxa"/>
            <w:tcBorders>
              <w:top w:val="single" w:sz="4" w:space="0" w:color="000000" w:themeColor="text1"/>
              <w:left w:val="single" w:sz="4" w:space="0" w:color="196B24" w:themeColor="accent3"/>
              <w:bottom w:val="single" w:sz="4" w:space="0" w:color="000000" w:themeColor="text1"/>
              <w:right w:val="single" w:sz="4" w:space="0" w:color="000000" w:themeColor="text1"/>
            </w:tcBorders>
            <w:shd w:val="clear" w:color="auto" w:fill="B3E5A1" w:themeFill="accent6" w:themeFillTint="66"/>
            <w:vAlign w:val="center"/>
          </w:tcPr>
          <w:p w14:paraId="279B79DF" w14:textId="77777777" w:rsidR="005A69AE" w:rsidRPr="00C22E72" w:rsidRDefault="005A69AE" w:rsidP="00197C35">
            <w:pPr>
              <w:pStyle w:val="Tabletext"/>
              <w:jc w:val="center"/>
              <w:rPr>
                <w:b/>
                <w:bCs/>
              </w:rPr>
            </w:pPr>
            <w:r w:rsidRPr="00C22E72">
              <w:rPr>
                <w:b/>
                <w:bCs/>
              </w:rPr>
              <w:t>Last year</w:t>
            </w:r>
          </w:p>
        </w:tc>
      </w:tr>
      <w:tr w:rsidR="005A69AE" w:rsidRPr="007871C3" w14:paraId="6DD74333" w14:textId="77777777" w:rsidTr="00197C35">
        <w:tc>
          <w:tcPr>
            <w:tcW w:w="2515" w:type="dxa"/>
            <w:tcBorders>
              <w:top w:val="single" w:sz="4" w:space="0" w:color="000000" w:themeColor="text1"/>
            </w:tcBorders>
          </w:tcPr>
          <w:p w14:paraId="7EDA9020" w14:textId="77777777" w:rsidR="005A69AE" w:rsidRPr="007871C3" w:rsidRDefault="005A69AE" w:rsidP="00197C35">
            <w:pPr>
              <w:pStyle w:val="Tabletext"/>
            </w:pPr>
            <w:r w:rsidRPr="00693135">
              <w:t>Phoenix Hospital</w:t>
            </w:r>
          </w:p>
        </w:tc>
        <w:tc>
          <w:tcPr>
            <w:tcW w:w="3645" w:type="dxa"/>
            <w:tcBorders>
              <w:top w:val="single" w:sz="4" w:space="0" w:color="000000" w:themeColor="text1"/>
            </w:tcBorders>
          </w:tcPr>
          <w:p w14:paraId="21D820A0" w14:textId="77777777" w:rsidR="005A69AE" w:rsidRPr="007871C3" w:rsidRDefault="005A69AE" w:rsidP="00197C35">
            <w:pPr>
              <w:pStyle w:val="Tabletext"/>
              <w:jc w:val="center"/>
            </w:pPr>
            <w:r>
              <w:t>48</w:t>
            </w:r>
          </w:p>
        </w:tc>
        <w:tc>
          <w:tcPr>
            <w:tcW w:w="3645" w:type="dxa"/>
            <w:tcBorders>
              <w:top w:val="single" w:sz="4" w:space="0" w:color="000000" w:themeColor="text1"/>
            </w:tcBorders>
          </w:tcPr>
          <w:p w14:paraId="7B685D7B" w14:textId="77777777" w:rsidR="005A69AE" w:rsidRPr="007871C3" w:rsidRDefault="005A69AE" w:rsidP="00197C35">
            <w:pPr>
              <w:pStyle w:val="Tabletext"/>
              <w:jc w:val="center"/>
            </w:pPr>
            <w:r>
              <w:t>35</w:t>
            </w:r>
          </w:p>
        </w:tc>
      </w:tr>
      <w:tr w:rsidR="005A69AE" w:rsidRPr="007871C3" w14:paraId="782636E7" w14:textId="77777777" w:rsidTr="00197C35">
        <w:tc>
          <w:tcPr>
            <w:tcW w:w="2515" w:type="dxa"/>
          </w:tcPr>
          <w:p w14:paraId="7639DDC1" w14:textId="77777777" w:rsidR="005A69AE" w:rsidRPr="007871C3" w:rsidRDefault="005A69AE" w:rsidP="00197C35">
            <w:pPr>
              <w:pStyle w:val="Tabletext"/>
            </w:pPr>
            <w:r w:rsidRPr="00693135">
              <w:t>Competitor</w:t>
            </w:r>
          </w:p>
        </w:tc>
        <w:tc>
          <w:tcPr>
            <w:tcW w:w="3645" w:type="dxa"/>
          </w:tcPr>
          <w:p w14:paraId="24FD3A6A" w14:textId="77777777" w:rsidR="005A69AE" w:rsidRPr="007871C3" w:rsidRDefault="005A69AE" w:rsidP="00197C35">
            <w:pPr>
              <w:pStyle w:val="Tabletext"/>
              <w:jc w:val="center"/>
            </w:pPr>
            <w:r>
              <w:t>30</w:t>
            </w:r>
          </w:p>
        </w:tc>
        <w:tc>
          <w:tcPr>
            <w:tcW w:w="3645" w:type="dxa"/>
          </w:tcPr>
          <w:p w14:paraId="21B6AD61" w14:textId="77777777" w:rsidR="005A69AE" w:rsidRPr="007871C3" w:rsidRDefault="005A69AE" w:rsidP="00197C35">
            <w:pPr>
              <w:pStyle w:val="Tabletext"/>
              <w:jc w:val="center"/>
            </w:pPr>
            <w:r>
              <w:t>43</w:t>
            </w:r>
          </w:p>
        </w:tc>
      </w:tr>
      <w:tr w:rsidR="005A69AE" w:rsidRPr="007871C3" w14:paraId="2B26A454" w14:textId="77777777" w:rsidTr="00197C35">
        <w:tc>
          <w:tcPr>
            <w:tcW w:w="2515" w:type="dxa"/>
          </w:tcPr>
          <w:p w14:paraId="6D1545DC" w14:textId="77777777" w:rsidR="005A69AE" w:rsidRPr="007871C3" w:rsidRDefault="005A69AE" w:rsidP="00197C35">
            <w:pPr>
              <w:pStyle w:val="Tabletext"/>
            </w:pPr>
            <w:r w:rsidRPr="00693135">
              <w:t>Out of country hospitals</w:t>
            </w:r>
          </w:p>
        </w:tc>
        <w:tc>
          <w:tcPr>
            <w:tcW w:w="3645" w:type="dxa"/>
          </w:tcPr>
          <w:p w14:paraId="6425F232" w14:textId="77777777" w:rsidR="005A69AE" w:rsidRPr="007871C3" w:rsidRDefault="005A69AE" w:rsidP="00197C35">
            <w:pPr>
              <w:pStyle w:val="Tabletext"/>
              <w:jc w:val="center"/>
            </w:pPr>
            <w:r>
              <w:t>22</w:t>
            </w:r>
          </w:p>
        </w:tc>
        <w:tc>
          <w:tcPr>
            <w:tcW w:w="3645" w:type="dxa"/>
          </w:tcPr>
          <w:p w14:paraId="1EC949F3" w14:textId="77777777" w:rsidR="005A69AE" w:rsidRPr="007871C3" w:rsidRDefault="005A69AE" w:rsidP="00197C35">
            <w:pPr>
              <w:pStyle w:val="Tabletext"/>
              <w:jc w:val="center"/>
            </w:pPr>
            <w:r>
              <w:t>22</w:t>
            </w:r>
          </w:p>
        </w:tc>
      </w:tr>
    </w:tbl>
    <w:p w14:paraId="047AF513" w14:textId="77777777" w:rsidR="005A69AE" w:rsidRDefault="005A69AE" w:rsidP="005A69AE">
      <w:pPr>
        <w:spacing w:before="120"/>
        <w:rPr>
          <w:b/>
          <w:bCs/>
        </w:rPr>
      </w:pPr>
      <w:r w:rsidRPr="00922875">
        <w:rPr>
          <w:b/>
          <w:bCs/>
        </w:rPr>
        <w:t>Patient Origin by Zip Code for Phoenix Hospital</w:t>
      </w:r>
    </w:p>
    <w:p w14:paraId="7C18831C" w14:textId="77777777" w:rsidR="005A69AE" w:rsidRDefault="005A69AE" w:rsidP="005A69AE">
      <w:pPr>
        <w:rPr>
          <w:b/>
          <w:bCs/>
        </w:rPr>
      </w:pPr>
      <w:r w:rsidRPr="00A10226">
        <w:rPr>
          <w:noProof/>
          <w:sz w:val="24"/>
          <w:szCs w:val="24"/>
        </w:rPr>
        <w:drawing>
          <wp:inline distT="0" distB="0" distL="0" distR="0" wp14:anchorId="3A08DEA1" wp14:editId="0151880E">
            <wp:extent cx="2182586" cy="2117272"/>
            <wp:effectExtent l="0" t="0" r="8255" b="16510"/>
            <wp:docPr id="30" name="Chart 30" descr="A pie chart showing the percentage of patient origin by zip code for Phoenix Hospital.&#10;Zip code 96101 was 52 percent&#10;Zip code 9392 was 21 percent&#10;Zip code 92106 was 16 percent&#10;Zip code 94963 was 20 percent"/>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b/>
          <w:bCs/>
        </w:rPr>
        <w:tab/>
      </w:r>
      <w:r>
        <w:rPr>
          <w:rFonts w:ascii="Times New Roman" w:eastAsiaTheme="minorHAnsi" w:hAnsi="Times New Roman" w:cs="Times New Roman"/>
          <w:noProof/>
          <w:sz w:val="24"/>
          <w:szCs w:val="24"/>
          <w:lang w:val="en-IN" w:eastAsia="en-IN"/>
        </w:rPr>
        <mc:AlternateContent>
          <mc:Choice Requires="wps">
            <w:drawing>
              <wp:inline distT="0" distB="0" distL="0" distR="0" wp14:anchorId="2FDD3217" wp14:editId="53D76E41">
                <wp:extent cx="2802890" cy="556895"/>
                <wp:effectExtent l="0" t="0" r="16510" b="26670"/>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2890" cy="556895"/>
                        </a:xfrm>
                        <a:prstGeom prst="rect">
                          <a:avLst/>
                        </a:prstGeom>
                        <a:solidFill>
                          <a:srgbClr val="FFFFFF"/>
                        </a:solidFill>
                        <a:ln w="9525">
                          <a:solidFill>
                            <a:srgbClr val="000000"/>
                          </a:solidFill>
                          <a:miter lim="800000"/>
                          <a:headEnd/>
                          <a:tailEnd/>
                        </a:ln>
                      </wps:spPr>
                      <wps:txbx>
                        <w:txbxContent>
                          <w:p w14:paraId="73B3F7F8" w14:textId="77777777" w:rsidR="005A69AE" w:rsidRDefault="005A69AE" w:rsidP="005A69AE">
                            <w:r>
                              <w:t>96101 is Phoenix Hospital zip code</w:t>
                            </w:r>
                          </w:p>
                          <w:p w14:paraId="5A3CE5BF" w14:textId="77777777" w:rsidR="005A69AE" w:rsidRDefault="005A69AE" w:rsidP="005A69AE">
                            <w:r>
                              <w:t>94963 is major competitor hospital zip code</w:t>
                            </w:r>
                          </w:p>
                        </w:txbxContent>
                      </wps:txbx>
                      <wps:bodyPr rot="0" vert="horz" wrap="square" lIns="91440" tIns="45720" rIns="91440" bIns="45720" anchor="t" anchorCtr="0">
                        <a:spAutoFit/>
                      </wps:bodyPr>
                    </wps:wsp>
                  </a:graphicData>
                </a:graphic>
              </wp:inline>
            </w:drawing>
          </mc:Choice>
          <mc:Fallback>
            <w:pict>
              <v:shapetype w14:anchorId="2FDD3217" id="_x0000_t202" coordsize="21600,21600" o:spt="202" path="m,l,21600r21600,l21600,xe">
                <v:stroke joinstyle="miter"/>
                <v:path gradientshapeok="t" o:connecttype="rect"/>
              </v:shapetype>
              <v:shape id="Text Box 217" o:spid="_x0000_s1026" type="#_x0000_t202" style="width:220.7pt;height:4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">
                <v:textbox style="mso-fit-shape-to-text:t">
                  <w:txbxContent>
                    <w:p w14:paraId="73B3F7F8" w14:textId="77777777" w:rsidR="005A69AE" w:rsidRDefault="005A69AE" w:rsidP="005A69AE">
                      <w:r>
                        <w:t>96101 is Phoenix Hospital zip code</w:t>
                      </w:r>
                    </w:p>
                    <w:p w14:paraId="5A3CE5BF" w14:textId="77777777" w:rsidR="005A69AE" w:rsidRDefault="005A69AE" w:rsidP="005A69AE">
                      <w:r>
                        <w:t>94963 is major competitor hospital zip code</w:t>
                      </w:r>
                    </w:p>
                  </w:txbxContent>
                </v:textbox>
                <w10:anchorlock/>
              </v:shape>
            </w:pict>
          </mc:Fallback>
        </mc:AlternateContent>
      </w:r>
    </w:p>
    <w:p w14:paraId="536AC5A0" w14:textId="77777777" w:rsidR="005A69AE" w:rsidRDefault="005A69AE" w:rsidP="005A69AE">
      <w:pPr>
        <w:spacing w:before="0" w:after="160" w:line="259" w:lineRule="auto"/>
        <w:rPr>
          <w:b/>
          <w:bCs/>
          <w:sz w:val="28"/>
          <w:szCs w:val="28"/>
        </w:rPr>
      </w:pPr>
      <w:r>
        <w:br w:type="page"/>
      </w:r>
    </w:p>
    <w:p w14:paraId="422C8017" w14:textId="77777777" w:rsidR="005A69AE" w:rsidRDefault="005A69AE" w:rsidP="005A69AE">
      <w:pPr>
        <w:pStyle w:val="Heading4"/>
      </w:pPr>
      <w:r w:rsidRPr="00E7536B">
        <w:lastRenderedPageBreak/>
        <w:t>Payment</w:t>
      </w:r>
    </w:p>
    <w:p w14:paraId="403ABA96" w14:textId="77777777" w:rsidR="005A69AE" w:rsidRDefault="005A69AE" w:rsidP="005A69AE">
      <w:r w:rsidRPr="00BD27B3">
        <w:t>There is a continued focus on pay for performance and increased wellness programs. Health care reform has created more covered lives; however, there are often high deductibles</w:t>
      </w:r>
      <w:r>
        <w:t xml:space="preserve">. </w:t>
      </w:r>
    </w:p>
    <w:p w14:paraId="2814EA3B" w14:textId="77777777" w:rsidR="005A69AE" w:rsidRDefault="005A69AE" w:rsidP="005A69AE">
      <w:r w:rsidRPr="00BD27B3">
        <w:t>The median household income for county residents is $59,548. On average, households in the county earn more than the state median household income of $44,446 and more than the national average of $53,650. The addition of a new automotive manufacturing plant to the local market this coming year is projected to add 1,500 production line jobs and 300 administrative jobs by year-end. Median income for the production positions is estimated at $45,000 and will provide health, vision, and dental insurance benefits</w:t>
      </w:r>
      <w:r>
        <w:t>.</w:t>
      </w:r>
    </w:p>
    <w:p w14:paraId="456A95D3" w14:textId="77777777" w:rsidR="005A69AE" w:rsidRDefault="005A69AE" w:rsidP="005A69AE">
      <w:pPr>
        <w:spacing w:before="120"/>
        <w:rPr>
          <w:b/>
          <w:bCs/>
        </w:rPr>
      </w:pPr>
      <w:r w:rsidRPr="00035649">
        <w:rPr>
          <w:b/>
          <w:bCs/>
        </w:rPr>
        <w:t>Percentage of Population by Insurance</w:t>
      </w:r>
    </w:p>
    <w:p w14:paraId="2502A8EE" w14:textId="77777777" w:rsidR="005A69AE" w:rsidRDefault="005A69AE" w:rsidP="005A69AE">
      <w:r w:rsidRPr="003D1C02">
        <w:t>Current Payer Mix</w:t>
      </w:r>
    </w:p>
    <w:p w14:paraId="72176DCD" w14:textId="77777777" w:rsidR="005A69AE" w:rsidRPr="003D1C02" w:rsidRDefault="005A69AE" w:rsidP="005A69AE">
      <w:r w:rsidRPr="00A10226">
        <w:rPr>
          <w:noProof/>
          <w:sz w:val="24"/>
          <w:szCs w:val="24"/>
        </w:rPr>
        <w:drawing>
          <wp:inline distT="0" distB="0" distL="0" distR="0" wp14:anchorId="0AAD870D" wp14:editId="3E22A7D5">
            <wp:extent cx="2790825" cy="2438400"/>
            <wp:effectExtent l="0" t="0" r="9525" b="0"/>
            <wp:docPr id="2" name="Chart 2" descr="A pie chart showing the percentage of population by insurance. The current payer mix includes:&#10;Uninsured at 9 percent&#10;Commercial at 24 percent&#10;Medicare at 30 percent&#10;Medicaid at 35 percent&#10;Other at 2 percent"/>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7DC4C49" w14:textId="77777777" w:rsidR="005A69AE" w:rsidRPr="00BD27B3" w:rsidRDefault="005A69AE" w:rsidP="005A69AE">
      <w:pPr>
        <w:spacing w:before="120"/>
        <w:rPr>
          <w:bCs/>
        </w:rPr>
      </w:pPr>
      <w:r w:rsidRPr="00BD27B3">
        <w:rPr>
          <w:bCs/>
        </w:rPr>
        <w:t>Projected Payer Mix 5-years</w:t>
      </w:r>
    </w:p>
    <w:p w14:paraId="296734E8" w14:textId="77777777" w:rsidR="005A69AE" w:rsidRPr="001C78B7" w:rsidRDefault="005A69AE" w:rsidP="005A69AE">
      <w:pPr>
        <w:pStyle w:val="CommentText"/>
        <w:rPr>
          <w:b/>
          <w:bCs/>
        </w:rPr>
      </w:pPr>
      <w:r>
        <w:rPr>
          <w:noProof/>
        </w:rPr>
        <w:drawing>
          <wp:inline distT="0" distB="0" distL="0" distR="0" wp14:anchorId="528D735D" wp14:editId="178FA096">
            <wp:extent cx="2656114" cy="2416629"/>
            <wp:effectExtent l="0" t="0" r="11430" b="3175"/>
            <wp:docPr id="5" name="Chart 5" descr="A pie chart showing the percentage of population by insurance. The projected 5 year payer mix inlcudes:&#10;Uninsured at 4 percent&#10;Commercial at 32 percent&#10;Medicare at 38 percent&#10;Medicaid at 24 percent&#10;Other at 2 percent"/>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7657E72" w14:textId="77777777" w:rsidR="005A69AE" w:rsidRDefault="005A69AE" w:rsidP="005A69AE">
      <w:r w:rsidRPr="00BD27B3">
        <w:t>As part of your review of this data, consider that a portion of the population will become Medicare eligible, the addition of manufacturing positions that include benefits will increase commercial insurance coverage, and changes from the health care reform will increase the number of patients in the market with insurance coverage.</w:t>
      </w:r>
    </w:p>
    <w:p w14:paraId="0BB0D746" w14:textId="77777777" w:rsidR="005A69AE" w:rsidRDefault="005A69AE" w:rsidP="005A69AE">
      <w:pPr>
        <w:pStyle w:val="Heading4"/>
      </w:pPr>
      <w:r w:rsidRPr="00674803">
        <w:lastRenderedPageBreak/>
        <w:t>Employers</w:t>
      </w:r>
    </w:p>
    <w:p w14:paraId="1A3F55A6" w14:textId="77777777" w:rsidR="005A69AE" w:rsidRDefault="005A69AE" w:rsidP="005A69AE">
      <w:r w:rsidRPr="00BD27B3">
        <w:t>There is expected growth in large employers with the addition of an automotive factory in the northwest sector of the county</w:t>
      </w:r>
      <w:r w:rsidRPr="00674803">
        <w:t>.</w:t>
      </w:r>
    </w:p>
    <w:p w14:paraId="0AC58425" w14:textId="77777777" w:rsidR="005A69AE" w:rsidRDefault="005A69AE" w:rsidP="005A69AE">
      <w:pPr>
        <w:pStyle w:val="Heading4"/>
      </w:pPr>
      <w:r w:rsidRPr="00674803">
        <w:t>Staffing</w:t>
      </w:r>
    </w:p>
    <w:p w14:paraId="566B33D1" w14:textId="77777777" w:rsidR="005A69AE" w:rsidRDefault="005A69AE" w:rsidP="005A69AE">
      <w:r w:rsidRPr="00BD27B3">
        <w:t>Staffing has remained stable for the past year. The only difficulty is that there are not sufficient nurses cross-trained to work in the intensive care unit, so expensive agency nurses have been used periodically to fill this gap in the ICU</w:t>
      </w:r>
      <w:r w:rsidRPr="00871609">
        <w:t>.</w:t>
      </w:r>
    </w:p>
    <w:p w14:paraId="69AFB17D" w14:textId="77777777" w:rsidR="005A69AE" w:rsidRDefault="005A69AE" w:rsidP="005A69AE">
      <w:pPr>
        <w:pStyle w:val="Heading4"/>
      </w:pPr>
      <w:r w:rsidRPr="00CB2F0C">
        <w:t>Physicians</w:t>
      </w:r>
    </w:p>
    <w:p w14:paraId="1438FD14" w14:textId="77777777" w:rsidR="005A69AE" w:rsidRDefault="005A69AE" w:rsidP="005A69AE">
      <w:r w:rsidRPr="00BD27B3">
        <w:t>The continued shortage of medical staff, especially in orthopedics, oncology, and primary care, will require increased recruitment efforts</w:t>
      </w:r>
      <w:r w:rsidRPr="00CB2F0C">
        <w:t>.</w:t>
      </w:r>
    </w:p>
    <w:p w14:paraId="6951949F" w14:textId="77777777" w:rsidR="005A69AE" w:rsidRPr="00CB2F0C" w:rsidRDefault="005A69AE" w:rsidP="005A69AE">
      <w:pPr>
        <w:pStyle w:val="Heading4"/>
      </w:pPr>
      <w:r w:rsidRPr="00172E5D">
        <w:t>Competitors</w:t>
      </w:r>
    </w:p>
    <w:p w14:paraId="79BF85FA" w14:textId="77777777" w:rsidR="005A69AE" w:rsidRPr="00674803" w:rsidRDefault="005A69AE" w:rsidP="005A69AE">
      <w:r w:rsidRPr="00BD27B3">
        <w:t xml:space="preserve">The other hospital in </w:t>
      </w:r>
      <w:proofErr w:type="gramStart"/>
      <w:r w:rsidRPr="00BD27B3">
        <w:t>county</w:t>
      </w:r>
      <w:proofErr w:type="gramEnd"/>
      <w:r w:rsidRPr="00BD27B3">
        <w:t>, Hanover County Hospital, updated its facility and has drawn more market share</w:t>
      </w:r>
      <w:r w:rsidRPr="00172E5D">
        <w:t>.</w:t>
      </w:r>
    </w:p>
    <w:tbl>
      <w:tblPr>
        <w:tblStyle w:val="TableGrid"/>
        <w:tblW w:w="10188"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Competitors"/>
      </w:tblPr>
      <w:tblGrid>
        <w:gridCol w:w="2547"/>
        <w:gridCol w:w="2547"/>
        <w:gridCol w:w="2547"/>
        <w:gridCol w:w="2547"/>
      </w:tblGrid>
      <w:tr w:rsidR="005A69AE" w:rsidRPr="005C3975" w14:paraId="6EF0EF88" w14:textId="77777777" w:rsidTr="00197C35">
        <w:trPr>
          <w:cantSplit/>
          <w:trHeight w:val="331"/>
          <w:tblHeader/>
        </w:trPr>
        <w:tc>
          <w:tcPr>
            <w:tcW w:w="2547" w:type="dxa"/>
            <w:shd w:val="clear" w:color="auto" w:fill="B3E5A1" w:themeFill="accent6" w:themeFillTint="66"/>
            <w:vAlign w:val="center"/>
            <w:hideMark/>
          </w:tcPr>
          <w:p w14:paraId="4383CF71" w14:textId="77777777" w:rsidR="005A69AE" w:rsidRPr="00C22E72" w:rsidRDefault="005A69AE" w:rsidP="00197C35">
            <w:pPr>
              <w:pStyle w:val="Tabletext"/>
              <w:jc w:val="center"/>
              <w:rPr>
                <w:b/>
                <w:bCs/>
              </w:rPr>
            </w:pPr>
            <w:r>
              <w:rPr>
                <w:b/>
                <w:bCs/>
              </w:rPr>
              <w:t xml:space="preserve">Primary </w:t>
            </w:r>
            <w:r w:rsidRPr="00C22E72">
              <w:rPr>
                <w:b/>
                <w:bCs/>
              </w:rPr>
              <w:t>Competitor</w:t>
            </w:r>
            <w:r>
              <w:rPr>
                <w:b/>
                <w:bCs/>
              </w:rPr>
              <w:t>s</w:t>
            </w:r>
          </w:p>
        </w:tc>
        <w:tc>
          <w:tcPr>
            <w:tcW w:w="2547" w:type="dxa"/>
            <w:shd w:val="clear" w:color="auto" w:fill="B3E5A1" w:themeFill="accent6" w:themeFillTint="66"/>
            <w:vAlign w:val="center"/>
            <w:hideMark/>
          </w:tcPr>
          <w:p w14:paraId="32B9F333" w14:textId="77777777" w:rsidR="005A69AE" w:rsidRPr="00C22E72" w:rsidRDefault="005A69AE" w:rsidP="00197C35">
            <w:pPr>
              <w:pStyle w:val="Tabletext"/>
              <w:jc w:val="center"/>
              <w:rPr>
                <w:b/>
                <w:bCs/>
              </w:rPr>
            </w:pPr>
            <w:r w:rsidRPr="00C22E72">
              <w:rPr>
                <w:b/>
                <w:bCs/>
              </w:rPr>
              <w:t>Key Areas of Competition</w:t>
            </w:r>
          </w:p>
        </w:tc>
        <w:tc>
          <w:tcPr>
            <w:tcW w:w="2547" w:type="dxa"/>
            <w:shd w:val="clear" w:color="auto" w:fill="B3E5A1" w:themeFill="accent6" w:themeFillTint="66"/>
            <w:vAlign w:val="center"/>
          </w:tcPr>
          <w:p w14:paraId="22B3BA81" w14:textId="77777777" w:rsidR="005A69AE" w:rsidRPr="00C22E72" w:rsidRDefault="005A69AE" w:rsidP="00197C35">
            <w:pPr>
              <w:pStyle w:val="Tabletext"/>
              <w:jc w:val="center"/>
              <w:rPr>
                <w:b/>
                <w:bCs/>
              </w:rPr>
            </w:pPr>
            <w:r w:rsidRPr="00C22E72">
              <w:rPr>
                <w:b/>
                <w:bCs/>
              </w:rPr>
              <w:t>New Programs and Facilities</w:t>
            </w:r>
          </w:p>
        </w:tc>
        <w:tc>
          <w:tcPr>
            <w:tcW w:w="2547" w:type="dxa"/>
            <w:shd w:val="clear" w:color="auto" w:fill="B3E5A1" w:themeFill="accent6" w:themeFillTint="66"/>
          </w:tcPr>
          <w:p w14:paraId="6406AB92" w14:textId="77777777" w:rsidR="005A69AE" w:rsidRPr="00C22E72" w:rsidRDefault="005A69AE" w:rsidP="00197C35">
            <w:pPr>
              <w:pStyle w:val="Tabletext"/>
              <w:jc w:val="center"/>
              <w:rPr>
                <w:b/>
                <w:bCs/>
              </w:rPr>
            </w:pPr>
            <w:r w:rsidRPr="00C22E72">
              <w:rPr>
                <w:b/>
                <w:bCs/>
              </w:rPr>
              <w:t>Risk to Market Share</w:t>
            </w:r>
          </w:p>
        </w:tc>
      </w:tr>
      <w:tr w:rsidR="005A69AE" w:rsidRPr="00E74CBA" w14:paraId="2B5B883F" w14:textId="77777777" w:rsidTr="00197C35">
        <w:trPr>
          <w:trHeight w:val="331"/>
        </w:trPr>
        <w:tc>
          <w:tcPr>
            <w:tcW w:w="2547" w:type="dxa"/>
          </w:tcPr>
          <w:p w14:paraId="2C221909" w14:textId="77777777" w:rsidR="005A69AE" w:rsidRPr="00E74CBA" w:rsidRDefault="005A69AE" w:rsidP="00197C35">
            <w:pPr>
              <w:pStyle w:val="Tabletext"/>
            </w:pPr>
            <w:r w:rsidRPr="0089463C">
              <w:t>Hanover County Hospital</w:t>
            </w:r>
          </w:p>
        </w:tc>
        <w:tc>
          <w:tcPr>
            <w:tcW w:w="2547" w:type="dxa"/>
          </w:tcPr>
          <w:p w14:paraId="33274603" w14:textId="77777777" w:rsidR="005A69AE" w:rsidRDefault="005A69AE" w:rsidP="00197C35">
            <w:pPr>
              <w:pStyle w:val="Tabletext"/>
            </w:pPr>
            <w:r w:rsidRPr="0089463C">
              <w:t>Facility upgrade</w:t>
            </w:r>
          </w:p>
          <w:p w14:paraId="04B5AF78" w14:textId="77777777" w:rsidR="005A69AE" w:rsidRDefault="005A69AE" w:rsidP="00197C35">
            <w:pPr>
              <w:pStyle w:val="Tabletext"/>
            </w:pPr>
          </w:p>
          <w:p w14:paraId="491941EB" w14:textId="77777777" w:rsidR="005A69AE" w:rsidRDefault="005A69AE" w:rsidP="00197C35">
            <w:pPr>
              <w:pStyle w:val="Tabletext"/>
            </w:pPr>
          </w:p>
          <w:p w14:paraId="6902BE78" w14:textId="77777777" w:rsidR="005A69AE" w:rsidRDefault="005A69AE" w:rsidP="00197C35">
            <w:pPr>
              <w:pStyle w:val="Tabletext"/>
            </w:pPr>
          </w:p>
          <w:p w14:paraId="2951E33A" w14:textId="77777777" w:rsidR="005A69AE" w:rsidRDefault="005A69AE" w:rsidP="00197C35">
            <w:pPr>
              <w:pStyle w:val="Tabletext"/>
            </w:pPr>
          </w:p>
          <w:p w14:paraId="4586F58C" w14:textId="77777777" w:rsidR="005A69AE" w:rsidRDefault="005A69AE" w:rsidP="00197C35">
            <w:pPr>
              <w:pStyle w:val="Tabletext"/>
            </w:pPr>
          </w:p>
          <w:p w14:paraId="6586CEA7" w14:textId="77777777" w:rsidR="005A69AE" w:rsidRPr="00E74CBA" w:rsidRDefault="005A69AE" w:rsidP="00197C35">
            <w:pPr>
              <w:pStyle w:val="Tabletext"/>
            </w:pPr>
            <w:r w:rsidRPr="00225657">
              <w:t>Quality Scores</w:t>
            </w:r>
          </w:p>
        </w:tc>
        <w:tc>
          <w:tcPr>
            <w:tcW w:w="2547" w:type="dxa"/>
          </w:tcPr>
          <w:p w14:paraId="7FB2D1DA" w14:textId="77777777" w:rsidR="005A69AE" w:rsidRDefault="005A69AE" w:rsidP="00197C35">
            <w:pPr>
              <w:pStyle w:val="Tabletext"/>
            </w:pPr>
            <w:r w:rsidRPr="0089463C">
              <w:t>Significant renovation of core hospital to update aesthetics</w:t>
            </w:r>
          </w:p>
          <w:p w14:paraId="0A299BB3" w14:textId="77777777" w:rsidR="005A69AE" w:rsidRDefault="005A69AE" w:rsidP="00197C35">
            <w:pPr>
              <w:pStyle w:val="Tabletext"/>
            </w:pPr>
          </w:p>
          <w:p w14:paraId="7946CD1C" w14:textId="77777777" w:rsidR="005A69AE" w:rsidRDefault="005A69AE" w:rsidP="00197C35">
            <w:pPr>
              <w:pStyle w:val="Tabletext"/>
            </w:pPr>
            <w:r w:rsidRPr="0089463C">
              <w:t>Added new wide-bore MRI machine last year</w:t>
            </w:r>
          </w:p>
          <w:p w14:paraId="2C379605" w14:textId="77777777" w:rsidR="005A69AE" w:rsidRDefault="005A69AE" w:rsidP="00197C35">
            <w:pPr>
              <w:pStyle w:val="Tabletext"/>
            </w:pPr>
          </w:p>
          <w:p w14:paraId="6B83188D" w14:textId="77777777" w:rsidR="005A69AE" w:rsidRPr="00E74CBA" w:rsidRDefault="005A69AE" w:rsidP="00197C35">
            <w:pPr>
              <w:pStyle w:val="Tabletext"/>
            </w:pPr>
            <w:r w:rsidRPr="0089463C">
              <w:t>Reaching 95th percentile in five of six HCAPS categories</w:t>
            </w:r>
          </w:p>
        </w:tc>
        <w:tc>
          <w:tcPr>
            <w:tcW w:w="2547" w:type="dxa"/>
          </w:tcPr>
          <w:p w14:paraId="1F51D827" w14:textId="77777777" w:rsidR="005A69AE" w:rsidRDefault="005A69AE" w:rsidP="00197C35">
            <w:pPr>
              <w:pStyle w:val="Tabletext"/>
            </w:pPr>
            <w:r w:rsidRPr="0089463C">
              <w:t>Drawing patients to newer facility</w:t>
            </w:r>
          </w:p>
          <w:p w14:paraId="21DE1E9F" w14:textId="77777777" w:rsidR="005A69AE" w:rsidRDefault="005A69AE" w:rsidP="00197C35">
            <w:pPr>
              <w:pStyle w:val="Tabletext"/>
            </w:pPr>
          </w:p>
          <w:p w14:paraId="6149740E" w14:textId="77777777" w:rsidR="005A69AE" w:rsidRDefault="005A69AE" w:rsidP="00197C35">
            <w:pPr>
              <w:pStyle w:val="Tabletext"/>
            </w:pPr>
            <w:r w:rsidRPr="00225657">
              <w:t>Accommodates heavier patients</w:t>
            </w:r>
          </w:p>
          <w:p w14:paraId="59F62310" w14:textId="77777777" w:rsidR="005A69AE" w:rsidRDefault="005A69AE" w:rsidP="00197C35">
            <w:pPr>
              <w:pStyle w:val="Tabletext"/>
            </w:pPr>
          </w:p>
          <w:p w14:paraId="52ABFED1" w14:textId="77777777" w:rsidR="005A69AE" w:rsidRPr="00E74CBA" w:rsidRDefault="005A69AE" w:rsidP="00197C35">
            <w:pPr>
              <w:pStyle w:val="Tabletext"/>
            </w:pPr>
            <w:r w:rsidRPr="00225657">
              <w:t>Patient perception of higher quality and patient satisfaction</w:t>
            </w:r>
          </w:p>
        </w:tc>
      </w:tr>
      <w:tr w:rsidR="005A69AE" w:rsidRPr="00E74CBA" w14:paraId="1422A4EB" w14:textId="77777777" w:rsidTr="00197C35">
        <w:trPr>
          <w:trHeight w:val="331"/>
        </w:trPr>
        <w:tc>
          <w:tcPr>
            <w:tcW w:w="2547" w:type="dxa"/>
          </w:tcPr>
          <w:p w14:paraId="71869713" w14:textId="77777777" w:rsidR="005A69AE" w:rsidRPr="00E74CBA" w:rsidRDefault="005A69AE" w:rsidP="00197C35">
            <w:pPr>
              <w:pStyle w:val="Tabletext"/>
            </w:pPr>
            <w:r w:rsidRPr="00225657">
              <w:t>Medical Center in county south of Phoenix</w:t>
            </w:r>
          </w:p>
        </w:tc>
        <w:tc>
          <w:tcPr>
            <w:tcW w:w="2547" w:type="dxa"/>
          </w:tcPr>
          <w:p w14:paraId="535EAAF6" w14:textId="77777777" w:rsidR="005A69AE" w:rsidRDefault="005A69AE" w:rsidP="00197C35">
            <w:pPr>
              <w:pStyle w:val="Tabletext"/>
            </w:pPr>
            <w:r w:rsidRPr="00225657">
              <w:t>Physician clinics</w:t>
            </w:r>
          </w:p>
          <w:p w14:paraId="71D19155" w14:textId="77777777" w:rsidR="005A69AE" w:rsidRDefault="005A69AE" w:rsidP="00197C35">
            <w:pPr>
              <w:pStyle w:val="Tabletext"/>
            </w:pPr>
          </w:p>
          <w:p w14:paraId="0FC14E49" w14:textId="77777777" w:rsidR="005A69AE" w:rsidRDefault="005A69AE" w:rsidP="00197C35">
            <w:pPr>
              <w:pStyle w:val="Tabletext"/>
            </w:pPr>
          </w:p>
          <w:p w14:paraId="05E50949" w14:textId="77777777" w:rsidR="005A69AE" w:rsidRPr="00E74CBA" w:rsidRDefault="005A69AE" w:rsidP="00197C35">
            <w:pPr>
              <w:pStyle w:val="Tabletext"/>
            </w:pPr>
            <w:r w:rsidRPr="00BD27B3">
              <w:t>Financial stability</w:t>
            </w:r>
          </w:p>
        </w:tc>
        <w:tc>
          <w:tcPr>
            <w:tcW w:w="2547" w:type="dxa"/>
          </w:tcPr>
          <w:p w14:paraId="3EA1E2ED" w14:textId="77777777" w:rsidR="005A69AE" w:rsidRDefault="005A69AE" w:rsidP="00197C35">
            <w:pPr>
              <w:pStyle w:val="Tabletext"/>
            </w:pPr>
            <w:r>
              <w:t>E</w:t>
            </w:r>
            <w:r w:rsidRPr="00225657">
              <w:t>-</w:t>
            </w:r>
            <w:r>
              <w:t>V</w:t>
            </w:r>
            <w:r w:rsidRPr="00225657">
              <w:t>isits with specialists</w:t>
            </w:r>
          </w:p>
          <w:p w14:paraId="638B7AC8" w14:textId="77777777" w:rsidR="005A69AE" w:rsidRDefault="005A69AE" w:rsidP="00197C35">
            <w:pPr>
              <w:pStyle w:val="Tabletext"/>
            </w:pPr>
          </w:p>
          <w:p w14:paraId="78F23EF1" w14:textId="77777777" w:rsidR="005A69AE" w:rsidRDefault="005A69AE" w:rsidP="00197C35">
            <w:pPr>
              <w:pStyle w:val="Tabletext"/>
            </w:pPr>
          </w:p>
          <w:p w14:paraId="0065A029" w14:textId="77777777" w:rsidR="005A69AE" w:rsidRPr="00E74CBA" w:rsidRDefault="005A69AE" w:rsidP="00197C35">
            <w:pPr>
              <w:pStyle w:val="Tabletext"/>
            </w:pPr>
            <w:r w:rsidRPr="00225657">
              <w:t>Low debt and high cash on hand</w:t>
            </w:r>
          </w:p>
        </w:tc>
        <w:tc>
          <w:tcPr>
            <w:tcW w:w="2547" w:type="dxa"/>
          </w:tcPr>
          <w:p w14:paraId="55BDFB11" w14:textId="77777777" w:rsidR="005A69AE" w:rsidRDefault="005A69AE" w:rsidP="00197C35">
            <w:pPr>
              <w:pStyle w:val="Tabletext"/>
            </w:pPr>
            <w:r w:rsidRPr="00D15C2E">
              <w:t>Drawing patients out of primary and specialty care at Phoenix Hospital</w:t>
            </w:r>
          </w:p>
          <w:p w14:paraId="7455A187" w14:textId="77777777" w:rsidR="005A69AE" w:rsidRPr="00E74CBA" w:rsidRDefault="005A69AE" w:rsidP="00197C35">
            <w:pPr>
              <w:pStyle w:val="Tabletext"/>
            </w:pPr>
            <w:r w:rsidRPr="00D15C2E">
              <w:t>Ability to cash flow projects</w:t>
            </w:r>
          </w:p>
        </w:tc>
      </w:tr>
    </w:tbl>
    <w:p w14:paraId="101D7C01" w14:textId="77777777" w:rsidR="005A69AE" w:rsidRDefault="005A69AE" w:rsidP="005A69AE">
      <w:pPr>
        <w:pStyle w:val="Heading4"/>
      </w:pPr>
    </w:p>
    <w:tbl>
      <w:tblPr>
        <w:tblStyle w:val="TableGrid"/>
        <w:tblW w:w="10188"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Competitors"/>
      </w:tblPr>
      <w:tblGrid>
        <w:gridCol w:w="2547"/>
        <w:gridCol w:w="2547"/>
        <w:gridCol w:w="2547"/>
        <w:gridCol w:w="2547"/>
      </w:tblGrid>
      <w:tr w:rsidR="005A69AE" w:rsidRPr="005C3975" w14:paraId="0321D189" w14:textId="77777777" w:rsidTr="00197C35">
        <w:trPr>
          <w:cantSplit/>
          <w:trHeight w:val="331"/>
          <w:tblHeader/>
        </w:trPr>
        <w:tc>
          <w:tcPr>
            <w:tcW w:w="2547" w:type="dxa"/>
            <w:shd w:val="clear" w:color="auto" w:fill="B3E5A1" w:themeFill="accent6" w:themeFillTint="66"/>
            <w:vAlign w:val="center"/>
            <w:hideMark/>
          </w:tcPr>
          <w:p w14:paraId="562AE16B" w14:textId="77777777" w:rsidR="005A69AE" w:rsidRPr="00C22E72" w:rsidRDefault="005A69AE" w:rsidP="00197C35">
            <w:pPr>
              <w:pStyle w:val="Tabletext"/>
              <w:jc w:val="center"/>
              <w:rPr>
                <w:b/>
                <w:bCs/>
              </w:rPr>
            </w:pPr>
            <w:r>
              <w:rPr>
                <w:b/>
                <w:bCs/>
              </w:rPr>
              <w:t xml:space="preserve">Secondary </w:t>
            </w:r>
            <w:r w:rsidRPr="00C22E72">
              <w:rPr>
                <w:b/>
                <w:bCs/>
              </w:rPr>
              <w:t>Competitor</w:t>
            </w:r>
            <w:r>
              <w:rPr>
                <w:b/>
                <w:bCs/>
              </w:rPr>
              <w:t>s</w:t>
            </w:r>
          </w:p>
        </w:tc>
        <w:tc>
          <w:tcPr>
            <w:tcW w:w="2547" w:type="dxa"/>
            <w:shd w:val="clear" w:color="auto" w:fill="B3E5A1" w:themeFill="accent6" w:themeFillTint="66"/>
            <w:vAlign w:val="center"/>
            <w:hideMark/>
          </w:tcPr>
          <w:p w14:paraId="4616A268" w14:textId="77777777" w:rsidR="005A69AE" w:rsidRPr="00C22E72" w:rsidRDefault="005A69AE" w:rsidP="00197C35">
            <w:pPr>
              <w:pStyle w:val="Tabletext"/>
              <w:jc w:val="center"/>
              <w:rPr>
                <w:b/>
                <w:bCs/>
              </w:rPr>
            </w:pPr>
            <w:r w:rsidRPr="00C22E72">
              <w:rPr>
                <w:b/>
                <w:bCs/>
              </w:rPr>
              <w:t>Key Areas of Competition</w:t>
            </w:r>
          </w:p>
        </w:tc>
        <w:tc>
          <w:tcPr>
            <w:tcW w:w="2547" w:type="dxa"/>
            <w:shd w:val="clear" w:color="auto" w:fill="B3E5A1" w:themeFill="accent6" w:themeFillTint="66"/>
            <w:vAlign w:val="center"/>
          </w:tcPr>
          <w:p w14:paraId="6D615621" w14:textId="77777777" w:rsidR="005A69AE" w:rsidRPr="00C22E72" w:rsidRDefault="005A69AE" w:rsidP="00197C35">
            <w:pPr>
              <w:pStyle w:val="Tabletext"/>
              <w:jc w:val="center"/>
              <w:rPr>
                <w:b/>
                <w:bCs/>
              </w:rPr>
            </w:pPr>
            <w:r w:rsidRPr="00C22E72">
              <w:rPr>
                <w:b/>
                <w:bCs/>
              </w:rPr>
              <w:t>New Programs and Facilities</w:t>
            </w:r>
          </w:p>
        </w:tc>
        <w:tc>
          <w:tcPr>
            <w:tcW w:w="2547" w:type="dxa"/>
            <w:shd w:val="clear" w:color="auto" w:fill="B3E5A1" w:themeFill="accent6" w:themeFillTint="66"/>
          </w:tcPr>
          <w:p w14:paraId="4A3234D6" w14:textId="77777777" w:rsidR="005A69AE" w:rsidRPr="00C22E72" w:rsidRDefault="005A69AE" w:rsidP="00197C35">
            <w:pPr>
              <w:pStyle w:val="Tabletext"/>
              <w:jc w:val="center"/>
              <w:rPr>
                <w:b/>
                <w:bCs/>
              </w:rPr>
            </w:pPr>
            <w:r w:rsidRPr="00C22E72">
              <w:rPr>
                <w:b/>
                <w:bCs/>
              </w:rPr>
              <w:t>Risk to Market Share</w:t>
            </w:r>
          </w:p>
        </w:tc>
      </w:tr>
      <w:tr w:rsidR="005A69AE" w:rsidRPr="00E74CBA" w14:paraId="1D3455F3" w14:textId="77777777" w:rsidTr="00197C35">
        <w:trPr>
          <w:trHeight w:val="331"/>
        </w:trPr>
        <w:tc>
          <w:tcPr>
            <w:tcW w:w="2547" w:type="dxa"/>
          </w:tcPr>
          <w:p w14:paraId="43701570" w14:textId="77777777" w:rsidR="005A69AE" w:rsidRPr="00B64778" w:rsidRDefault="005A69AE" w:rsidP="00197C35">
            <w:pPr>
              <w:pStyle w:val="Tabletext"/>
            </w:pPr>
            <w:r w:rsidRPr="003E7CD0">
              <w:t>Retail pharmacy instant clinic</w:t>
            </w:r>
          </w:p>
        </w:tc>
        <w:tc>
          <w:tcPr>
            <w:tcW w:w="2547" w:type="dxa"/>
          </w:tcPr>
          <w:p w14:paraId="3DF34B06" w14:textId="77777777" w:rsidR="005A69AE" w:rsidRPr="00225657" w:rsidRDefault="005A69AE" w:rsidP="00197C35">
            <w:pPr>
              <w:pStyle w:val="Tabletext"/>
            </w:pPr>
            <w:r w:rsidRPr="00EA782F">
              <w:t>Low acuity office visits</w:t>
            </w:r>
          </w:p>
        </w:tc>
        <w:tc>
          <w:tcPr>
            <w:tcW w:w="2547" w:type="dxa"/>
          </w:tcPr>
          <w:p w14:paraId="3991EDC9" w14:textId="77777777" w:rsidR="005A69AE" w:rsidRPr="00225657" w:rsidRDefault="005A69AE" w:rsidP="00197C35">
            <w:pPr>
              <w:pStyle w:val="Tabletext"/>
            </w:pPr>
            <w:r w:rsidRPr="00EA782F">
              <w:t>Pharmacy added instant clinic in north</w:t>
            </w:r>
            <w:r>
              <w:t xml:space="preserve"> </w:t>
            </w:r>
            <w:r w:rsidRPr="00C33A78">
              <w:t>end of county 6 months ago</w:t>
            </w:r>
          </w:p>
        </w:tc>
        <w:tc>
          <w:tcPr>
            <w:tcW w:w="2547" w:type="dxa"/>
          </w:tcPr>
          <w:p w14:paraId="2E5C123C" w14:textId="77777777" w:rsidR="005A69AE" w:rsidRPr="00D15C2E" w:rsidRDefault="005A69AE" w:rsidP="00197C35">
            <w:pPr>
              <w:pStyle w:val="Tabletext"/>
            </w:pPr>
            <w:r w:rsidRPr="00EA782F">
              <w:t>Loss of patients from primary care physician practices</w:t>
            </w:r>
          </w:p>
        </w:tc>
      </w:tr>
    </w:tbl>
    <w:p w14:paraId="7BD2100F" w14:textId="77777777" w:rsidR="005A69AE" w:rsidRDefault="005A69AE" w:rsidP="005A69AE"/>
    <w:p w14:paraId="44BF05E9" w14:textId="77777777" w:rsidR="005A69AE" w:rsidRPr="00F85D0B" w:rsidRDefault="005A69AE" w:rsidP="005A69AE"/>
    <w:p w14:paraId="6F529C39" w14:textId="77777777" w:rsidR="005A69AE" w:rsidRDefault="005A69AE" w:rsidP="005A69AE">
      <w:pPr>
        <w:pStyle w:val="Heading4"/>
      </w:pPr>
      <w:r w:rsidRPr="007176E5">
        <w:t>Technology</w:t>
      </w:r>
    </w:p>
    <w:p w14:paraId="4F403C14" w14:textId="77777777" w:rsidR="005A69AE" w:rsidRDefault="005A69AE" w:rsidP="005A69AE">
      <w:r>
        <w:t xml:space="preserve">The addition of e-visits by a large hospital system in an adjoining county has drawn more market share to their physician practices. </w:t>
      </w:r>
    </w:p>
    <w:p w14:paraId="6E4DB164" w14:textId="77777777" w:rsidR="005A69AE" w:rsidRDefault="005A69AE" w:rsidP="005A69AE">
      <w:r>
        <w:lastRenderedPageBreak/>
        <w:t xml:space="preserve">The hospital has one MRI unit that is seven years old and is beginning to experience more “downtime” and needs more frequent repairs. This downtime has caused some scheduling delays for patients, and medical staff are voicing their concern. </w:t>
      </w:r>
    </w:p>
    <w:p w14:paraId="359B3946" w14:textId="77777777" w:rsidR="005A69AE" w:rsidRDefault="005A69AE" w:rsidP="005A69AE">
      <w:r>
        <w:t xml:space="preserve">The hospital has implemented the first phase of an electronic medical records system, which includes patient records for medical units and lab and radiology reporting. Specialized components of the system for OB documentation and oncology documentation have not yet been purchased. </w:t>
      </w:r>
    </w:p>
    <w:p w14:paraId="1EF0F44B" w14:textId="77777777" w:rsidR="005A69AE" w:rsidRDefault="005A69AE" w:rsidP="005A69AE">
      <w:r>
        <w:t xml:space="preserve">The emergency department provides EMS ambulance service to the county and has two ambulances. One ambulance is five years old and the second is eight years old with 187,000 miles on it. </w:t>
      </w:r>
    </w:p>
    <w:p w14:paraId="1CD8AE20" w14:textId="77777777" w:rsidR="005A69AE" w:rsidRDefault="005A69AE" w:rsidP="005A69AE">
      <w:r>
        <w:t xml:space="preserve">The cardiology department has one cardiac catheterization lab in good working condition. Demand for Cath Lab time has increased, but there have been delays because of limited Cath Lab trained staff and only having one Cath Lab available. </w:t>
      </w:r>
    </w:p>
    <w:p w14:paraId="3F9CC30A" w14:textId="77777777" w:rsidR="005A69AE" w:rsidRDefault="005A69AE" w:rsidP="005A69AE">
      <w:r>
        <w:t xml:space="preserve">The front lobby of the hospital is in disrepair with worn tile flooring and aged lobby furniture. </w:t>
      </w:r>
    </w:p>
    <w:p w14:paraId="7BF3200F" w14:textId="77777777" w:rsidR="005A69AE" w:rsidRDefault="005A69AE" w:rsidP="005A69AE">
      <w:r>
        <w:t xml:space="preserve">An employee gym was created several years ago but only contains one treadmill and a few weights. Staff have complained that there is not </w:t>
      </w:r>
      <w:proofErr w:type="gramStart"/>
      <w:r>
        <w:t>better</w:t>
      </w:r>
      <w:proofErr w:type="gramEnd"/>
      <w:r>
        <w:t xml:space="preserve"> gym equipment.</w:t>
      </w:r>
    </w:p>
    <w:p w14:paraId="3921DFF4" w14:textId="77777777" w:rsidR="005A69AE" w:rsidRPr="007176E5" w:rsidRDefault="005A69AE" w:rsidP="005A69AE"/>
    <w:p w14:paraId="63995AE5" w14:textId="77777777" w:rsidR="005A69AE" w:rsidRDefault="005A69AE" w:rsidP="005A69AE">
      <w:pPr>
        <w:pStyle w:val="Heading4"/>
      </w:pPr>
      <w:r w:rsidRPr="006425B6">
        <w:t>Regulatory Changes</w:t>
      </w:r>
    </w:p>
    <w:p w14:paraId="0D40F96F" w14:textId="77777777" w:rsidR="005A69AE" w:rsidRDefault="005A69AE" w:rsidP="005A69AE">
      <w:r>
        <w:t xml:space="preserve">Health care reform has increased the number of patients with some form of insurance payment. These patients are now seeking care in greater numbers from a primary care physician. Phoenix Hospital currently struggles with accommodating patient scheduling requests to establish care with a primary care physician. </w:t>
      </w:r>
    </w:p>
    <w:p w14:paraId="10ADBC91" w14:textId="77777777" w:rsidR="005A69AE" w:rsidRDefault="005A69AE" w:rsidP="005A69AE">
      <w:r>
        <w:t xml:space="preserve">Accreditation requirements for the coming year are changing to require CPOE (computerized physician order entry) in the medical record. The current electronic medical record system </w:t>
      </w:r>
      <w:proofErr w:type="gramStart"/>
      <w:r>
        <w:t>has not required</w:t>
      </w:r>
      <w:proofErr w:type="gramEnd"/>
      <w:r>
        <w:t xml:space="preserve"> CPOE, and staff regulations have accommodated verbal orders to nurses on a routine basis. </w:t>
      </w:r>
    </w:p>
    <w:p w14:paraId="7427C4B7" w14:textId="77777777" w:rsidR="005A69AE" w:rsidRDefault="005A69AE" w:rsidP="005A69AE">
      <w:r>
        <w:t xml:space="preserve">During the last Joint Commission survey, the hospital was cited for not having fire sprinkler heads in one patient care unit of the hospital. Installation cost is estimated at $50,000. </w:t>
      </w:r>
    </w:p>
    <w:p w14:paraId="34B2899B" w14:textId="77777777" w:rsidR="005A69AE" w:rsidRDefault="005A69AE" w:rsidP="005A69AE">
      <w:r>
        <w:t xml:space="preserve">During the last Joint Commission survey, the hospital was cited for not demonstrating sufficient training of staff for emergency preparedness and disaster drills. </w:t>
      </w:r>
    </w:p>
    <w:p w14:paraId="4055D327" w14:textId="77777777" w:rsidR="005A69AE" w:rsidRDefault="005A69AE" w:rsidP="005A69AE">
      <w:r>
        <w:t>The State Department of Health has issued a new regulation that requires all hospital management personnel to have documented active shooter training once per year, beginning this coming year.</w:t>
      </w:r>
      <w:r>
        <w:br w:type="page"/>
      </w:r>
    </w:p>
    <w:p w14:paraId="379262D3" w14:textId="77777777" w:rsidR="005A69AE" w:rsidRPr="00993685" w:rsidRDefault="005A69AE" w:rsidP="005A69AE">
      <w:pPr>
        <w:pStyle w:val="Heading3"/>
      </w:pPr>
      <w:r w:rsidRPr="00993685">
        <w:lastRenderedPageBreak/>
        <w:t>Hospital Financial Summary</w:t>
      </w:r>
    </w:p>
    <w:tbl>
      <w:tblPr>
        <w:tblStyle w:val="TableGrid"/>
        <w:tblW w:w="9805"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Hospital Financial Summary - Operating Revenues"/>
      </w:tblPr>
      <w:tblGrid>
        <w:gridCol w:w="3268"/>
        <w:gridCol w:w="3268"/>
        <w:gridCol w:w="3269"/>
      </w:tblGrid>
      <w:tr w:rsidR="005A69AE" w:rsidRPr="005C3975" w14:paraId="162CFCAC" w14:textId="77777777" w:rsidTr="00197C35">
        <w:trPr>
          <w:cantSplit/>
          <w:tblHeader/>
        </w:trPr>
        <w:tc>
          <w:tcPr>
            <w:tcW w:w="3268" w:type="dxa"/>
            <w:tcBorders>
              <w:top w:val="single" w:sz="4" w:space="0" w:color="000000" w:themeColor="text1"/>
              <w:left w:val="single" w:sz="4" w:space="0" w:color="000000" w:themeColor="text1"/>
              <w:bottom w:val="single" w:sz="4" w:space="0" w:color="000000" w:themeColor="text1"/>
              <w:right w:val="single" w:sz="4" w:space="0" w:color="196B24" w:themeColor="accent3"/>
            </w:tcBorders>
            <w:shd w:val="clear" w:color="auto" w:fill="B3E5A1" w:themeFill="accent6" w:themeFillTint="66"/>
            <w:vAlign w:val="center"/>
            <w:hideMark/>
          </w:tcPr>
          <w:p w14:paraId="05E60276" w14:textId="77777777" w:rsidR="005A69AE" w:rsidRPr="00C22E72" w:rsidRDefault="005A69AE" w:rsidP="00197C35">
            <w:pPr>
              <w:pStyle w:val="Tabletext"/>
              <w:jc w:val="center"/>
              <w:rPr>
                <w:b/>
                <w:bCs/>
              </w:rPr>
            </w:pPr>
            <w:r w:rsidRPr="00C22E72">
              <w:rPr>
                <w:b/>
                <w:bCs/>
              </w:rPr>
              <w:t>Operating Revenues</w:t>
            </w:r>
          </w:p>
        </w:tc>
        <w:tc>
          <w:tcPr>
            <w:tcW w:w="3268" w:type="dxa"/>
            <w:tcBorders>
              <w:top w:val="single" w:sz="4" w:space="0" w:color="000000" w:themeColor="text1"/>
              <w:left w:val="single" w:sz="4" w:space="0" w:color="196B24" w:themeColor="accent3"/>
              <w:bottom w:val="single" w:sz="4" w:space="0" w:color="000000" w:themeColor="text1"/>
              <w:right w:val="single" w:sz="4" w:space="0" w:color="196B24" w:themeColor="accent3"/>
            </w:tcBorders>
            <w:shd w:val="clear" w:color="auto" w:fill="B3E5A1" w:themeFill="accent6" w:themeFillTint="66"/>
            <w:vAlign w:val="center"/>
            <w:hideMark/>
          </w:tcPr>
          <w:p w14:paraId="63F9191F" w14:textId="77777777" w:rsidR="005A69AE" w:rsidRPr="00C22E72" w:rsidRDefault="005A69AE" w:rsidP="00197C35">
            <w:pPr>
              <w:pStyle w:val="Tabletext"/>
              <w:jc w:val="center"/>
              <w:rPr>
                <w:b/>
                <w:bCs/>
              </w:rPr>
            </w:pPr>
            <w:r w:rsidRPr="00C22E72">
              <w:rPr>
                <w:b/>
                <w:bCs/>
              </w:rPr>
              <w:t>This Year</w:t>
            </w:r>
          </w:p>
        </w:tc>
        <w:tc>
          <w:tcPr>
            <w:tcW w:w="3269" w:type="dxa"/>
            <w:tcBorders>
              <w:top w:val="single" w:sz="4" w:space="0" w:color="000000" w:themeColor="text1"/>
              <w:left w:val="single" w:sz="4" w:space="0" w:color="196B24" w:themeColor="accent3"/>
              <w:bottom w:val="single" w:sz="4" w:space="0" w:color="000000" w:themeColor="text1"/>
              <w:right w:val="single" w:sz="4" w:space="0" w:color="000000" w:themeColor="text1"/>
            </w:tcBorders>
            <w:shd w:val="clear" w:color="auto" w:fill="B3E5A1" w:themeFill="accent6" w:themeFillTint="66"/>
            <w:vAlign w:val="center"/>
          </w:tcPr>
          <w:p w14:paraId="66459333" w14:textId="77777777" w:rsidR="005A69AE" w:rsidRPr="00C22E72" w:rsidRDefault="005A69AE" w:rsidP="00197C35">
            <w:pPr>
              <w:pStyle w:val="Tabletext"/>
              <w:jc w:val="center"/>
              <w:rPr>
                <w:b/>
                <w:bCs/>
              </w:rPr>
            </w:pPr>
            <w:r w:rsidRPr="00C22E72">
              <w:rPr>
                <w:b/>
                <w:bCs/>
              </w:rPr>
              <w:t>Last Year</w:t>
            </w:r>
          </w:p>
        </w:tc>
      </w:tr>
      <w:tr w:rsidR="005A69AE" w:rsidRPr="007871C3" w14:paraId="036A0634" w14:textId="77777777" w:rsidTr="00197C35">
        <w:tc>
          <w:tcPr>
            <w:tcW w:w="3268" w:type="dxa"/>
            <w:tcBorders>
              <w:top w:val="single" w:sz="4" w:space="0" w:color="000000" w:themeColor="text1"/>
            </w:tcBorders>
          </w:tcPr>
          <w:p w14:paraId="56E61099" w14:textId="77777777" w:rsidR="005A69AE" w:rsidRPr="007871C3" w:rsidRDefault="005A69AE" w:rsidP="00197C35">
            <w:pPr>
              <w:pStyle w:val="Tabletext"/>
            </w:pPr>
            <w:r w:rsidRPr="001D7A9E">
              <w:t>Net revenues from services to patients</w:t>
            </w:r>
          </w:p>
        </w:tc>
        <w:tc>
          <w:tcPr>
            <w:tcW w:w="3268" w:type="dxa"/>
            <w:tcBorders>
              <w:top w:val="single" w:sz="4" w:space="0" w:color="000000" w:themeColor="text1"/>
            </w:tcBorders>
          </w:tcPr>
          <w:p w14:paraId="5317ADAD" w14:textId="77777777" w:rsidR="005A69AE" w:rsidRPr="007871C3" w:rsidRDefault="005A69AE" w:rsidP="00197C35">
            <w:pPr>
              <w:pStyle w:val="Tabletext"/>
              <w:jc w:val="center"/>
            </w:pPr>
            <w:r w:rsidRPr="001D7A9E">
              <w:t>343,737,280</w:t>
            </w:r>
          </w:p>
        </w:tc>
        <w:tc>
          <w:tcPr>
            <w:tcW w:w="3269" w:type="dxa"/>
            <w:tcBorders>
              <w:top w:val="single" w:sz="4" w:space="0" w:color="000000" w:themeColor="text1"/>
            </w:tcBorders>
          </w:tcPr>
          <w:p w14:paraId="4E6E957F" w14:textId="77777777" w:rsidR="005A69AE" w:rsidRPr="007871C3" w:rsidRDefault="005A69AE" w:rsidP="00197C35">
            <w:pPr>
              <w:pStyle w:val="Tabletext"/>
              <w:jc w:val="center"/>
            </w:pPr>
            <w:r w:rsidRPr="001D7A9E">
              <w:t>344,726,245</w:t>
            </w:r>
          </w:p>
        </w:tc>
      </w:tr>
      <w:tr w:rsidR="005A69AE" w:rsidRPr="007871C3" w14:paraId="7A577FAA" w14:textId="77777777" w:rsidTr="00197C35">
        <w:tc>
          <w:tcPr>
            <w:tcW w:w="3268" w:type="dxa"/>
          </w:tcPr>
          <w:p w14:paraId="157C9CEF" w14:textId="77777777" w:rsidR="005A69AE" w:rsidRPr="007871C3" w:rsidRDefault="005A69AE" w:rsidP="00197C35">
            <w:pPr>
              <w:pStyle w:val="Tabletext"/>
            </w:pPr>
            <w:r w:rsidRPr="001D7A9E">
              <w:t>Other operating revenues</w:t>
            </w:r>
          </w:p>
        </w:tc>
        <w:tc>
          <w:tcPr>
            <w:tcW w:w="3268" w:type="dxa"/>
          </w:tcPr>
          <w:p w14:paraId="689D3E76" w14:textId="77777777" w:rsidR="005A69AE" w:rsidRPr="007871C3" w:rsidRDefault="005A69AE" w:rsidP="00197C35">
            <w:pPr>
              <w:pStyle w:val="Tabletext"/>
              <w:jc w:val="center"/>
            </w:pPr>
            <w:r w:rsidRPr="001D7A9E">
              <w:t>16,846,309</w:t>
            </w:r>
          </w:p>
        </w:tc>
        <w:tc>
          <w:tcPr>
            <w:tcW w:w="3269" w:type="dxa"/>
          </w:tcPr>
          <w:p w14:paraId="73721333" w14:textId="77777777" w:rsidR="005A69AE" w:rsidRPr="007871C3" w:rsidRDefault="005A69AE" w:rsidP="00197C35">
            <w:pPr>
              <w:pStyle w:val="Tabletext"/>
              <w:jc w:val="center"/>
            </w:pPr>
            <w:r w:rsidRPr="001D7A9E">
              <w:t>20,311,534</w:t>
            </w:r>
          </w:p>
        </w:tc>
      </w:tr>
      <w:tr w:rsidR="005A69AE" w:rsidRPr="007871C3" w14:paraId="619D3741" w14:textId="77777777" w:rsidTr="00197C35">
        <w:tc>
          <w:tcPr>
            <w:tcW w:w="3268" w:type="dxa"/>
          </w:tcPr>
          <w:p w14:paraId="09C98B95" w14:textId="77777777" w:rsidR="005A69AE" w:rsidRPr="007871C3" w:rsidRDefault="005A69AE" w:rsidP="00197C35">
            <w:pPr>
              <w:pStyle w:val="Tabletext"/>
            </w:pPr>
            <w:r w:rsidRPr="001D7A9E">
              <w:t>Total operating revenues</w:t>
            </w:r>
          </w:p>
        </w:tc>
        <w:tc>
          <w:tcPr>
            <w:tcW w:w="3268" w:type="dxa"/>
          </w:tcPr>
          <w:p w14:paraId="13FC791F" w14:textId="77777777" w:rsidR="005A69AE" w:rsidRPr="007871C3" w:rsidRDefault="005A69AE" w:rsidP="00197C35">
            <w:pPr>
              <w:pStyle w:val="Tabletext"/>
              <w:jc w:val="center"/>
            </w:pPr>
            <w:r w:rsidRPr="008A1DDD">
              <w:t>360,583,589</w:t>
            </w:r>
          </w:p>
        </w:tc>
        <w:tc>
          <w:tcPr>
            <w:tcW w:w="3269" w:type="dxa"/>
          </w:tcPr>
          <w:p w14:paraId="57BF5142" w14:textId="77777777" w:rsidR="005A69AE" w:rsidRPr="007871C3" w:rsidRDefault="005A69AE" w:rsidP="00197C35">
            <w:pPr>
              <w:pStyle w:val="Tabletext"/>
              <w:jc w:val="center"/>
            </w:pPr>
            <w:r w:rsidRPr="001D7A9E">
              <w:t>365,037,779</w:t>
            </w:r>
          </w:p>
        </w:tc>
      </w:tr>
    </w:tbl>
    <w:p w14:paraId="675D9021" w14:textId="77777777" w:rsidR="005A69AE" w:rsidRDefault="005A69AE" w:rsidP="005A69AE"/>
    <w:tbl>
      <w:tblPr>
        <w:tblStyle w:val="TableGrid"/>
        <w:tblW w:w="9805"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Hospital Financial Summary - Operating Expenses"/>
      </w:tblPr>
      <w:tblGrid>
        <w:gridCol w:w="3268"/>
        <w:gridCol w:w="3268"/>
        <w:gridCol w:w="3269"/>
      </w:tblGrid>
      <w:tr w:rsidR="005A69AE" w:rsidRPr="005C3975" w14:paraId="44AB76F6" w14:textId="77777777" w:rsidTr="00197C35">
        <w:trPr>
          <w:cantSplit/>
          <w:tblHeader/>
        </w:trPr>
        <w:tc>
          <w:tcPr>
            <w:tcW w:w="3268" w:type="dxa"/>
            <w:tcBorders>
              <w:top w:val="single" w:sz="4" w:space="0" w:color="000000" w:themeColor="text1"/>
              <w:left w:val="single" w:sz="4" w:space="0" w:color="000000" w:themeColor="text1"/>
              <w:bottom w:val="single" w:sz="4" w:space="0" w:color="000000" w:themeColor="text1"/>
              <w:right w:val="single" w:sz="4" w:space="0" w:color="196B24" w:themeColor="accent3"/>
            </w:tcBorders>
            <w:shd w:val="clear" w:color="auto" w:fill="B3E5A1" w:themeFill="accent6" w:themeFillTint="66"/>
            <w:vAlign w:val="center"/>
            <w:hideMark/>
          </w:tcPr>
          <w:p w14:paraId="0B6F21D3" w14:textId="77777777" w:rsidR="005A69AE" w:rsidRPr="00C22E72" w:rsidRDefault="005A69AE" w:rsidP="00197C35">
            <w:pPr>
              <w:pStyle w:val="Tabletext"/>
              <w:jc w:val="center"/>
              <w:rPr>
                <w:b/>
                <w:bCs/>
              </w:rPr>
            </w:pPr>
            <w:r w:rsidRPr="00C22E72">
              <w:rPr>
                <w:b/>
                <w:bCs/>
              </w:rPr>
              <w:t>Operating Expenses</w:t>
            </w:r>
          </w:p>
        </w:tc>
        <w:tc>
          <w:tcPr>
            <w:tcW w:w="3268" w:type="dxa"/>
            <w:tcBorders>
              <w:top w:val="single" w:sz="4" w:space="0" w:color="000000" w:themeColor="text1"/>
              <w:left w:val="single" w:sz="4" w:space="0" w:color="196B24" w:themeColor="accent3"/>
              <w:bottom w:val="single" w:sz="4" w:space="0" w:color="000000" w:themeColor="text1"/>
              <w:right w:val="single" w:sz="4" w:space="0" w:color="196B24" w:themeColor="accent3"/>
            </w:tcBorders>
            <w:shd w:val="clear" w:color="auto" w:fill="B3E5A1" w:themeFill="accent6" w:themeFillTint="66"/>
            <w:vAlign w:val="center"/>
            <w:hideMark/>
          </w:tcPr>
          <w:p w14:paraId="41715B57" w14:textId="77777777" w:rsidR="005A69AE" w:rsidRPr="00C22E72" w:rsidRDefault="005A69AE" w:rsidP="00197C35">
            <w:pPr>
              <w:pStyle w:val="Tabletext"/>
              <w:jc w:val="center"/>
              <w:rPr>
                <w:b/>
                <w:bCs/>
              </w:rPr>
            </w:pPr>
            <w:r w:rsidRPr="00C22E72">
              <w:rPr>
                <w:b/>
                <w:bCs/>
              </w:rPr>
              <w:t>This Year</w:t>
            </w:r>
          </w:p>
        </w:tc>
        <w:tc>
          <w:tcPr>
            <w:tcW w:w="3269" w:type="dxa"/>
            <w:tcBorders>
              <w:top w:val="single" w:sz="4" w:space="0" w:color="000000" w:themeColor="text1"/>
              <w:left w:val="single" w:sz="4" w:space="0" w:color="196B24" w:themeColor="accent3"/>
              <w:bottom w:val="single" w:sz="4" w:space="0" w:color="000000" w:themeColor="text1"/>
              <w:right w:val="single" w:sz="4" w:space="0" w:color="000000" w:themeColor="text1"/>
            </w:tcBorders>
            <w:shd w:val="clear" w:color="auto" w:fill="B3E5A1" w:themeFill="accent6" w:themeFillTint="66"/>
            <w:vAlign w:val="center"/>
          </w:tcPr>
          <w:p w14:paraId="34CA0195" w14:textId="77777777" w:rsidR="005A69AE" w:rsidRPr="00C22E72" w:rsidRDefault="005A69AE" w:rsidP="00197C35">
            <w:pPr>
              <w:pStyle w:val="Tabletext"/>
              <w:jc w:val="center"/>
              <w:rPr>
                <w:b/>
                <w:bCs/>
              </w:rPr>
            </w:pPr>
            <w:r w:rsidRPr="00C22E72">
              <w:rPr>
                <w:b/>
                <w:bCs/>
              </w:rPr>
              <w:t>Last Year</w:t>
            </w:r>
          </w:p>
        </w:tc>
      </w:tr>
      <w:tr w:rsidR="005A69AE" w:rsidRPr="007871C3" w14:paraId="6689F71B" w14:textId="77777777" w:rsidTr="00197C35">
        <w:tc>
          <w:tcPr>
            <w:tcW w:w="3268" w:type="dxa"/>
            <w:tcBorders>
              <w:top w:val="single" w:sz="4" w:space="0" w:color="000000" w:themeColor="text1"/>
            </w:tcBorders>
          </w:tcPr>
          <w:p w14:paraId="00FFA04D" w14:textId="77777777" w:rsidR="005A69AE" w:rsidRPr="007871C3" w:rsidRDefault="005A69AE" w:rsidP="00197C35">
            <w:pPr>
              <w:pStyle w:val="Tabletext"/>
            </w:pPr>
            <w:r w:rsidRPr="001C52A0">
              <w:t>Salaries and benefits</w:t>
            </w:r>
          </w:p>
        </w:tc>
        <w:tc>
          <w:tcPr>
            <w:tcW w:w="3268" w:type="dxa"/>
            <w:tcBorders>
              <w:top w:val="single" w:sz="4" w:space="0" w:color="000000" w:themeColor="text1"/>
            </w:tcBorders>
          </w:tcPr>
          <w:p w14:paraId="69B550C9" w14:textId="77777777" w:rsidR="005A69AE" w:rsidRPr="007871C3" w:rsidRDefault="005A69AE" w:rsidP="00197C35">
            <w:pPr>
              <w:pStyle w:val="Tabletext"/>
              <w:jc w:val="center"/>
            </w:pPr>
            <w:r w:rsidRPr="008065EC">
              <w:t>192,053,379</w:t>
            </w:r>
          </w:p>
        </w:tc>
        <w:tc>
          <w:tcPr>
            <w:tcW w:w="3269" w:type="dxa"/>
          </w:tcPr>
          <w:p w14:paraId="6BE90C4E" w14:textId="77777777" w:rsidR="005A69AE" w:rsidRPr="007871C3" w:rsidRDefault="005A69AE" w:rsidP="00197C35">
            <w:pPr>
              <w:pStyle w:val="Tabletext"/>
              <w:jc w:val="center"/>
            </w:pPr>
            <w:r w:rsidRPr="008A1DDD">
              <w:t>182,853,245</w:t>
            </w:r>
          </w:p>
        </w:tc>
      </w:tr>
      <w:tr w:rsidR="005A69AE" w:rsidRPr="007871C3" w14:paraId="43EFC608" w14:textId="77777777" w:rsidTr="00197C35">
        <w:tc>
          <w:tcPr>
            <w:tcW w:w="3268" w:type="dxa"/>
          </w:tcPr>
          <w:p w14:paraId="55D9C0DE" w14:textId="77777777" w:rsidR="005A69AE" w:rsidRPr="007871C3" w:rsidRDefault="005A69AE" w:rsidP="00197C35">
            <w:pPr>
              <w:pStyle w:val="Tabletext"/>
            </w:pPr>
            <w:r w:rsidRPr="001C52A0">
              <w:t>Supplies and other</w:t>
            </w:r>
            <w:r>
              <w:t xml:space="preserve"> </w:t>
            </w:r>
            <w:r w:rsidRPr="001C52A0">
              <w:t>expenses</w:t>
            </w:r>
          </w:p>
        </w:tc>
        <w:tc>
          <w:tcPr>
            <w:tcW w:w="3268" w:type="dxa"/>
          </w:tcPr>
          <w:p w14:paraId="1DC8DA5E" w14:textId="77777777" w:rsidR="005A69AE" w:rsidRPr="007871C3" w:rsidRDefault="005A69AE" w:rsidP="00197C35">
            <w:pPr>
              <w:pStyle w:val="Tabletext"/>
              <w:jc w:val="center"/>
            </w:pPr>
            <w:r w:rsidRPr="008065EC">
              <w:t>130,173,477</w:t>
            </w:r>
          </w:p>
        </w:tc>
        <w:tc>
          <w:tcPr>
            <w:tcW w:w="3269" w:type="dxa"/>
          </w:tcPr>
          <w:p w14:paraId="3D6E1A32" w14:textId="77777777" w:rsidR="005A69AE" w:rsidRPr="007871C3" w:rsidRDefault="005A69AE" w:rsidP="00197C35">
            <w:pPr>
              <w:pStyle w:val="Tabletext"/>
              <w:jc w:val="center"/>
            </w:pPr>
            <w:r w:rsidRPr="008A1DDD">
              <w:t>135,560,131</w:t>
            </w:r>
          </w:p>
        </w:tc>
      </w:tr>
      <w:tr w:rsidR="005A69AE" w:rsidRPr="007871C3" w14:paraId="0AB209F6" w14:textId="77777777" w:rsidTr="00197C35">
        <w:tc>
          <w:tcPr>
            <w:tcW w:w="3268" w:type="dxa"/>
          </w:tcPr>
          <w:p w14:paraId="608D00E3" w14:textId="77777777" w:rsidR="005A69AE" w:rsidRPr="007871C3" w:rsidRDefault="005A69AE" w:rsidP="00197C35">
            <w:pPr>
              <w:pStyle w:val="Tabletext"/>
            </w:pPr>
            <w:r w:rsidRPr="008A1DDD">
              <w:t>Depreciation</w:t>
            </w:r>
          </w:p>
        </w:tc>
        <w:tc>
          <w:tcPr>
            <w:tcW w:w="3268" w:type="dxa"/>
          </w:tcPr>
          <w:p w14:paraId="1C67F875" w14:textId="77777777" w:rsidR="005A69AE" w:rsidRPr="007871C3" w:rsidRDefault="005A69AE" w:rsidP="00197C35">
            <w:pPr>
              <w:pStyle w:val="Tabletext"/>
              <w:jc w:val="center"/>
            </w:pPr>
            <w:r w:rsidRPr="008065EC">
              <w:t>18,969,799</w:t>
            </w:r>
          </w:p>
        </w:tc>
        <w:tc>
          <w:tcPr>
            <w:tcW w:w="3269" w:type="dxa"/>
          </w:tcPr>
          <w:p w14:paraId="5BB35ADF" w14:textId="77777777" w:rsidR="005A69AE" w:rsidRPr="007871C3" w:rsidRDefault="005A69AE" w:rsidP="00197C35">
            <w:pPr>
              <w:pStyle w:val="Tabletext"/>
              <w:jc w:val="center"/>
            </w:pPr>
            <w:r w:rsidRPr="008A1DDD">
              <w:t>20,644,157</w:t>
            </w:r>
          </w:p>
        </w:tc>
      </w:tr>
      <w:tr w:rsidR="005A69AE" w:rsidRPr="007871C3" w14:paraId="486713C5" w14:textId="77777777" w:rsidTr="00197C35">
        <w:tc>
          <w:tcPr>
            <w:tcW w:w="3268" w:type="dxa"/>
          </w:tcPr>
          <w:p w14:paraId="6B34D9E3" w14:textId="77777777" w:rsidR="005A69AE" w:rsidRPr="008A1DDD" w:rsidRDefault="005A69AE" w:rsidP="00197C35">
            <w:pPr>
              <w:pStyle w:val="Tabletext"/>
            </w:pPr>
            <w:r w:rsidRPr="008065EC">
              <w:t>Interest</w:t>
            </w:r>
          </w:p>
        </w:tc>
        <w:tc>
          <w:tcPr>
            <w:tcW w:w="3268" w:type="dxa"/>
          </w:tcPr>
          <w:p w14:paraId="6597CA28" w14:textId="77777777" w:rsidR="005A69AE" w:rsidRPr="007871C3" w:rsidRDefault="005A69AE" w:rsidP="00197C35">
            <w:pPr>
              <w:pStyle w:val="Tabletext"/>
              <w:jc w:val="center"/>
            </w:pPr>
            <w:r w:rsidRPr="008065EC">
              <w:t>2,695,623</w:t>
            </w:r>
          </w:p>
        </w:tc>
        <w:tc>
          <w:tcPr>
            <w:tcW w:w="3269" w:type="dxa"/>
          </w:tcPr>
          <w:p w14:paraId="0B334191" w14:textId="77777777" w:rsidR="005A69AE" w:rsidRPr="007871C3" w:rsidRDefault="005A69AE" w:rsidP="00197C35">
            <w:pPr>
              <w:pStyle w:val="Tabletext"/>
              <w:jc w:val="center"/>
            </w:pPr>
            <w:r w:rsidRPr="008A1DDD">
              <w:t>2,226,437</w:t>
            </w:r>
          </w:p>
        </w:tc>
      </w:tr>
      <w:tr w:rsidR="005A69AE" w:rsidRPr="007871C3" w14:paraId="4C91D9F9" w14:textId="77777777" w:rsidTr="00197C35">
        <w:tc>
          <w:tcPr>
            <w:tcW w:w="3268" w:type="dxa"/>
          </w:tcPr>
          <w:p w14:paraId="356E39F8" w14:textId="77777777" w:rsidR="005A69AE" w:rsidRPr="008065EC" w:rsidRDefault="005A69AE" w:rsidP="00197C35">
            <w:pPr>
              <w:pStyle w:val="Tabletext"/>
            </w:pPr>
            <w:r w:rsidRPr="008065EC">
              <w:t>Foundation</w:t>
            </w:r>
          </w:p>
        </w:tc>
        <w:tc>
          <w:tcPr>
            <w:tcW w:w="3268" w:type="dxa"/>
          </w:tcPr>
          <w:p w14:paraId="60B2AAEB" w14:textId="77777777" w:rsidR="005A69AE" w:rsidRPr="007871C3" w:rsidRDefault="005A69AE" w:rsidP="00197C35">
            <w:pPr>
              <w:pStyle w:val="Tabletext"/>
              <w:jc w:val="center"/>
            </w:pPr>
            <w:r w:rsidRPr="008065EC">
              <w:t>628,184</w:t>
            </w:r>
          </w:p>
        </w:tc>
        <w:tc>
          <w:tcPr>
            <w:tcW w:w="3269" w:type="dxa"/>
          </w:tcPr>
          <w:p w14:paraId="4153F2AE" w14:textId="77777777" w:rsidR="005A69AE" w:rsidRPr="007871C3" w:rsidRDefault="005A69AE" w:rsidP="00197C35">
            <w:pPr>
              <w:pStyle w:val="Tabletext"/>
              <w:jc w:val="center"/>
            </w:pPr>
            <w:r w:rsidRPr="008A1DDD">
              <w:t>1,182,308</w:t>
            </w:r>
          </w:p>
        </w:tc>
      </w:tr>
      <w:tr w:rsidR="005A69AE" w:rsidRPr="007871C3" w14:paraId="738BEAB3" w14:textId="77777777" w:rsidTr="00197C35">
        <w:tc>
          <w:tcPr>
            <w:tcW w:w="3268" w:type="dxa"/>
          </w:tcPr>
          <w:p w14:paraId="1263FA5B" w14:textId="77777777" w:rsidR="005A69AE" w:rsidRPr="008065EC" w:rsidRDefault="005A69AE" w:rsidP="00197C35">
            <w:pPr>
              <w:pStyle w:val="Tabletext"/>
            </w:pPr>
            <w:r w:rsidRPr="008065EC">
              <w:t>Total operating expenses</w:t>
            </w:r>
          </w:p>
        </w:tc>
        <w:tc>
          <w:tcPr>
            <w:tcW w:w="3268" w:type="dxa"/>
          </w:tcPr>
          <w:p w14:paraId="208820D2" w14:textId="77777777" w:rsidR="005A69AE" w:rsidRPr="007871C3" w:rsidRDefault="005A69AE" w:rsidP="00197C35">
            <w:pPr>
              <w:pStyle w:val="Tabletext"/>
              <w:jc w:val="center"/>
            </w:pPr>
            <w:r w:rsidRPr="008065EC">
              <w:t>344,520,462</w:t>
            </w:r>
          </w:p>
        </w:tc>
        <w:tc>
          <w:tcPr>
            <w:tcW w:w="3269" w:type="dxa"/>
          </w:tcPr>
          <w:p w14:paraId="215FCEC4" w14:textId="77777777" w:rsidR="005A69AE" w:rsidRPr="007871C3" w:rsidRDefault="005A69AE" w:rsidP="00197C35">
            <w:pPr>
              <w:pStyle w:val="Tabletext"/>
              <w:jc w:val="center"/>
            </w:pPr>
            <w:r w:rsidRPr="008A1DDD">
              <w:t>342,466,278</w:t>
            </w:r>
          </w:p>
        </w:tc>
      </w:tr>
    </w:tbl>
    <w:p w14:paraId="59B7C964" w14:textId="77777777" w:rsidR="005A69AE" w:rsidRDefault="005A69AE" w:rsidP="005A69AE"/>
    <w:tbl>
      <w:tblPr>
        <w:tblStyle w:val="TableGrid"/>
        <w:tblW w:w="9805" w:type="dxa"/>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CellMar>
          <w:top w:w="58" w:type="dxa"/>
          <w:left w:w="115" w:type="dxa"/>
          <w:bottom w:w="58" w:type="dxa"/>
          <w:right w:w="115" w:type="dxa"/>
        </w:tblCellMar>
        <w:tblLook w:val="04A0" w:firstRow="1" w:lastRow="0" w:firstColumn="1" w:lastColumn="0" w:noHBand="0" w:noVBand="1"/>
        <w:tblCaption w:val="Hospital Financial Summary - Income from operations"/>
      </w:tblPr>
      <w:tblGrid>
        <w:gridCol w:w="3268"/>
        <w:gridCol w:w="3268"/>
        <w:gridCol w:w="3269"/>
      </w:tblGrid>
      <w:tr w:rsidR="005A69AE" w:rsidRPr="005C3975" w14:paraId="0F1B84C5" w14:textId="77777777" w:rsidTr="00197C35">
        <w:trPr>
          <w:cantSplit/>
          <w:tblHeader/>
        </w:trPr>
        <w:tc>
          <w:tcPr>
            <w:tcW w:w="3268" w:type="dxa"/>
            <w:tcBorders>
              <w:top w:val="single" w:sz="4" w:space="0" w:color="000000" w:themeColor="text1"/>
              <w:left w:val="single" w:sz="4" w:space="0" w:color="000000" w:themeColor="text1"/>
              <w:bottom w:val="single" w:sz="4" w:space="0" w:color="000000" w:themeColor="text1"/>
              <w:right w:val="single" w:sz="4" w:space="0" w:color="196B24" w:themeColor="accent3"/>
            </w:tcBorders>
            <w:shd w:val="clear" w:color="auto" w:fill="B3E5A1" w:themeFill="accent6" w:themeFillTint="66"/>
            <w:vAlign w:val="center"/>
            <w:hideMark/>
          </w:tcPr>
          <w:p w14:paraId="7AB5DE9C" w14:textId="77777777" w:rsidR="005A69AE" w:rsidRPr="00C22E72" w:rsidRDefault="005A69AE" w:rsidP="00197C35">
            <w:pPr>
              <w:pStyle w:val="Tabletext"/>
              <w:jc w:val="center"/>
              <w:rPr>
                <w:b/>
                <w:bCs/>
              </w:rPr>
            </w:pPr>
          </w:p>
        </w:tc>
        <w:tc>
          <w:tcPr>
            <w:tcW w:w="3268" w:type="dxa"/>
            <w:tcBorders>
              <w:top w:val="single" w:sz="4" w:space="0" w:color="000000" w:themeColor="text1"/>
              <w:left w:val="single" w:sz="4" w:space="0" w:color="196B24" w:themeColor="accent3"/>
              <w:bottom w:val="single" w:sz="4" w:space="0" w:color="000000" w:themeColor="text1"/>
              <w:right w:val="single" w:sz="4" w:space="0" w:color="196B24" w:themeColor="accent3"/>
            </w:tcBorders>
            <w:shd w:val="clear" w:color="auto" w:fill="B3E5A1" w:themeFill="accent6" w:themeFillTint="66"/>
            <w:vAlign w:val="center"/>
            <w:hideMark/>
          </w:tcPr>
          <w:p w14:paraId="2E2A0C58" w14:textId="77777777" w:rsidR="005A69AE" w:rsidRPr="00C22E72" w:rsidRDefault="005A69AE" w:rsidP="00197C35">
            <w:pPr>
              <w:pStyle w:val="Tabletext"/>
              <w:jc w:val="center"/>
              <w:rPr>
                <w:b/>
                <w:bCs/>
              </w:rPr>
            </w:pPr>
            <w:r w:rsidRPr="00C22E72">
              <w:rPr>
                <w:b/>
                <w:bCs/>
              </w:rPr>
              <w:t>This Year</w:t>
            </w:r>
          </w:p>
        </w:tc>
        <w:tc>
          <w:tcPr>
            <w:tcW w:w="3269" w:type="dxa"/>
            <w:tcBorders>
              <w:top w:val="single" w:sz="4" w:space="0" w:color="000000" w:themeColor="text1"/>
              <w:left w:val="single" w:sz="4" w:space="0" w:color="196B24" w:themeColor="accent3"/>
              <w:bottom w:val="single" w:sz="4" w:space="0" w:color="000000" w:themeColor="text1"/>
              <w:right w:val="single" w:sz="4" w:space="0" w:color="000000" w:themeColor="text1"/>
            </w:tcBorders>
            <w:shd w:val="clear" w:color="auto" w:fill="B3E5A1" w:themeFill="accent6" w:themeFillTint="66"/>
            <w:vAlign w:val="center"/>
          </w:tcPr>
          <w:p w14:paraId="1E28679C" w14:textId="77777777" w:rsidR="005A69AE" w:rsidRPr="00C22E72" w:rsidRDefault="005A69AE" w:rsidP="00197C35">
            <w:pPr>
              <w:pStyle w:val="Tabletext"/>
              <w:jc w:val="center"/>
              <w:rPr>
                <w:b/>
                <w:bCs/>
              </w:rPr>
            </w:pPr>
            <w:r w:rsidRPr="00C22E72">
              <w:rPr>
                <w:b/>
                <w:bCs/>
              </w:rPr>
              <w:t>Last Year</w:t>
            </w:r>
          </w:p>
        </w:tc>
      </w:tr>
      <w:tr w:rsidR="005A69AE" w:rsidRPr="007871C3" w14:paraId="7ECE7F64" w14:textId="77777777" w:rsidTr="00197C35">
        <w:tc>
          <w:tcPr>
            <w:tcW w:w="3268" w:type="dxa"/>
            <w:tcBorders>
              <w:top w:val="single" w:sz="4" w:space="0" w:color="000000" w:themeColor="text1"/>
            </w:tcBorders>
          </w:tcPr>
          <w:p w14:paraId="2DC13CC7" w14:textId="77777777" w:rsidR="005A69AE" w:rsidRPr="007871C3" w:rsidRDefault="005A69AE" w:rsidP="00197C35">
            <w:pPr>
              <w:pStyle w:val="Tabletext"/>
            </w:pPr>
            <w:r w:rsidRPr="00E8217F">
              <w:t>Income from operations</w:t>
            </w:r>
          </w:p>
        </w:tc>
        <w:tc>
          <w:tcPr>
            <w:tcW w:w="3268" w:type="dxa"/>
            <w:tcBorders>
              <w:top w:val="single" w:sz="4" w:space="0" w:color="000000" w:themeColor="text1"/>
            </w:tcBorders>
          </w:tcPr>
          <w:p w14:paraId="69457582" w14:textId="77777777" w:rsidR="005A69AE" w:rsidRPr="007871C3" w:rsidRDefault="005A69AE" w:rsidP="00197C35">
            <w:pPr>
              <w:pStyle w:val="Tabletext"/>
              <w:jc w:val="center"/>
            </w:pPr>
            <w:r w:rsidRPr="001C7BB0">
              <w:t>16,063,127</w:t>
            </w:r>
          </w:p>
        </w:tc>
        <w:tc>
          <w:tcPr>
            <w:tcW w:w="3269" w:type="dxa"/>
            <w:tcBorders>
              <w:top w:val="single" w:sz="4" w:space="0" w:color="000000" w:themeColor="text1"/>
            </w:tcBorders>
          </w:tcPr>
          <w:p w14:paraId="28B9E68D" w14:textId="77777777" w:rsidR="005A69AE" w:rsidRPr="007871C3" w:rsidRDefault="005A69AE" w:rsidP="00197C35">
            <w:pPr>
              <w:pStyle w:val="Tabletext"/>
              <w:jc w:val="center"/>
            </w:pPr>
            <w:r w:rsidRPr="001C7BB0">
              <w:t>22,571,501</w:t>
            </w:r>
          </w:p>
        </w:tc>
      </w:tr>
    </w:tbl>
    <w:p w14:paraId="0FF25D03" w14:textId="77777777" w:rsidR="005A69AE" w:rsidRDefault="005A69AE"/>
    <w:sectPr w:rsidR="005A69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9AE"/>
    <w:rsid w:val="005A69AE"/>
    <w:rsid w:val="008D4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7C9EB"/>
  <w15:chartTrackingRefBased/>
  <w15:docId w15:val="{333E89B6-78DB-4569-B0DC-AFCEE192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5A69AE"/>
    <w:pPr>
      <w:spacing w:before="60" w:after="120" w:line="240" w:lineRule="auto"/>
    </w:pPr>
    <w:rPr>
      <w:rFonts w:ascii="Arial" w:eastAsia="Calibri" w:hAnsi="Arial" w:cs="Arial"/>
      <w:kern w:val="0"/>
      <w:sz w:val="20"/>
      <w:szCs w:val="22"/>
      <w14:ligatures w14:val="none"/>
    </w:rPr>
  </w:style>
  <w:style w:type="paragraph" w:styleId="Heading1">
    <w:name w:val="heading 1"/>
    <w:basedOn w:val="Normal"/>
    <w:next w:val="Normal"/>
    <w:link w:val="Heading1Char"/>
    <w:uiPriority w:val="9"/>
    <w:qFormat/>
    <w:rsid w:val="005A69A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5A69A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5A69A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unhideWhenUsed/>
    <w:qFormat/>
    <w:rsid w:val="005A69A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A69A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A69AE"/>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A69AE"/>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A69AE"/>
    <w:pPr>
      <w:keepNext/>
      <w:keepLines/>
      <w:spacing w:before="0"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A69AE"/>
    <w:pPr>
      <w:keepNext/>
      <w:keepLines/>
      <w:spacing w:before="0"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9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A69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A69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A69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69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69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69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69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69AE"/>
    <w:rPr>
      <w:rFonts w:eastAsiaTheme="majorEastAsia" w:cstheme="majorBidi"/>
      <w:color w:val="272727" w:themeColor="text1" w:themeTint="D8"/>
    </w:rPr>
  </w:style>
  <w:style w:type="paragraph" w:styleId="Title">
    <w:name w:val="Title"/>
    <w:basedOn w:val="Normal"/>
    <w:next w:val="Normal"/>
    <w:link w:val="TitleChar"/>
    <w:uiPriority w:val="10"/>
    <w:qFormat/>
    <w:rsid w:val="005A69AE"/>
    <w:pPr>
      <w:spacing w:before="0"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A69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69AE"/>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A69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69AE"/>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A69AE"/>
    <w:rPr>
      <w:i/>
      <w:iCs/>
      <w:color w:val="404040" w:themeColor="text1" w:themeTint="BF"/>
    </w:rPr>
  </w:style>
  <w:style w:type="paragraph" w:styleId="ListParagraph">
    <w:name w:val="List Paragraph"/>
    <w:basedOn w:val="Normal"/>
    <w:uiPriority w:val="34"/>
    <w:qFormat/>
    <w:rsid w:val="005A69AE"/>
    <w:pPr>
      <w:spacing w:before="0"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5A69AE"/>
    <w:rPr>
      <w:i/>
      <w:iCs/>
      <w:color w:val="0F4761" w:themeColor="accent1" w:themeShade="BF"/>
    </w:rPr>
  </w:style>
  <w:style w:type="paragraph" w:styleId="IntenseQuote">
    <w:name w:val="Intense Quote"/>
    <w:basedOn w:val="Normal"/>
    <w:next w:val="Normal"/>
    <w:link w:val="IntenseQuoteChar"/>
    <w:uiPriority w:val="30"/>
    <w:qFormat/>
    <w:rsid w:val="005A69A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A69AE"/>
    <w:rPr>
      <w:i/>
      <w:iCs/>
      <w:color w:val="0F4761" w:themeColor="accent1" w:themeShade="BF"/>
    </w:rPr>
  </w:style>
  <w:style w:type="character" w:styleId="IntenseReference">
    <w:name w:val="Intense Reference"/>
    <w:basedOn w:val="DefaultParagraphFont"/>
    <w:uiPriority w:val="32"/>
    <w:qFormat/>
    <w:rsid w:val="005A69AE"/>
    <w:rPr>
      <w:b/>
      <w:bCs/>
      <w:smallCaps/>
      <w:color w:val="0F4761" w:themeColor="accent1" w:themeShade="BF"/>
      <w:spacing w:val="5"/>
    </w:rPr>
  </w:style>
  <w:style w:type="table" w:styleId="TableGrid">
    <w:name w:val="Table Grid"/>
    <w:basedOn w:val="TableNormal"/>
    <w:uiPriority w:val="39"/>
    <w:rsid w:val="005A69A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5A69AE"/>
  </w:style>
  <w:style w:type="character" w:customStyle="1" w:styleId="CommentTextChar">
    <w:name w:val="Comment Text Char"/>
    <w:basedOn w:val="DefaultParagraphFont"/>
    <w:link w:val="CommentText"/>
    <w:uiPriority w:val="99"/>
    <w:rsid w:val="005A69AE"/>
    <w:rPr>
      <w:rFonts w:ascii="Arial" w:eastAsia="Calibri" w:hAnsi="Arial" w:cs="Arial"/>
      <w:kern w:val="0"/>
      <w:sz w:val="20"/>
      <w:szCs w:val="22"/>
      <w14:ligatures w14:val="none"/>
    </w:rPr>
  </w:style>
  <w:style w:type="paragraph" w:customStyle="1" w:styleId="Tabletext">
    <w:name w:val="Table text"/>
    <w:basedOn w:val="Normal"/>
    <w:link w:val="TabletextChar"/>
    <w:qFormat/>
    <w:rsid w:val="005A69AE"/>
    <w:pPr>
      <w:spacing w:after="60"/>
    </w:pPr>
  </w:style>
  <w:style w:type="character" w:customStyle="1" w:styleId="TabletextChar">
    <w:name w:val="Table text Char"/>
    <w:basedOn w:val="DefaultParagraphFont"/>
    <w:link w:val="Tabletext"/>
    <w:rsid w:val="005A69AE"/>
    <w:rPr>
      <w:rFonts w:ascii="Arial" w:eastAsia="Calibri" w:hAnsi="Arial" w:cs="Arial"/>
      <w:kern w:val="0"/>
      <w:sz w:val="2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customXml" Target="../customXml/item3.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chart" Target="charts/chart4.xml"/><Relationship Id="rId4" Type="http://schemas.openxmlformats.org/officeDocument/2006/relationships/styles" Target="style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solidFill>
                  <a:srgbClr val="595959"/>
                </a:solidFill>
              </a:rPr>
              <a:t>Volume changes last year versus this year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Last year</c:v>
                </c:pt>
              </c:strCache>
            </c:strRef>
          </c:tx>
          <c:spPr>
            <a:solidFill>
              <a:srgbClr val="5B9BD5"/>
            </a:solidFill>
            <a:ln>
              <a:solidFill>
                <a:srgbClr val="5B9BD5"/>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595959"/>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Admission</c:v>
                </c:pt>
                <c:pt idx="1">
                  <c:v>ER visits</c:v>
                </c:pt>
                <c:pt idx="2">
                  <c:v>Deliveries</c:v>
                </c:pt>
                <c:pt idx="3">
                  <c:v>Surgeries</c:v>
                </c:pt>
              </c:strCache>
            </c:strRef>
          </c:cat>
          <c:val>
            <c:numRef>
              <c:f>Sheet1!$B$2:$B$5</c:f>
              <c:numCache>
                <c:formatCode>General</c:formatCode>
                <c:ptCount val="4"/>
                <c:pt idx="0">
                  <c:v>4458</c:v>
                </c:pt>
                <c:pt idx="1">
                  <c:v>20930</c:v>
                </c:pt>
                <c:pt idx="2">
                  <c:v>405</c:v>
                </c:pt>
                <c:pt idx="3">
                  <c:v>6365</c:v>
                </c:pt>
              </c:numCache>
            </c:numRef>
          </c:val>
          <c:extLst>
            <c:ext xmlns:c16="http://schemas.microsoft.com/office/drawing/2014/chart" uri="{C3380CC4-5D6E-409C-BE32-E72D297353CC}">
              <c16:uniqueId val="{00000000-7452-4994-ADA4-2671926BAC7F}"/>
            </c:ext>
          </c:extLst>
        </c:ser>
        <c:ser>
          <c:idx val="1"/>
          <c:order val="1"/>
          <c:tx>
            <c:strRef>
              <c:f>Sheet1!$C$1</c:f>
              <c:strCache>
                <c:ptCount val="1"/>
                <c:pt idx="0">
                  <c:v>This year</c:v>
                </c:pt>
              </c:strCache>
            </c:strRef>
          </c:tx>
          <c:spPr>
            <a:solidFill>
              <a:srgbClr val="ED7D31"/>
            </a:solidFill>
            <a:ln>
              <a:solidFill>
                <a:srgbClr val="5B9BD5"/>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595959"/>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Admission</c:v>
                </c:pt>
                <c:pt idx="1">
                  <c:v>ER visits</c:v>
                </c:pt>
                <c:pt idx="2">
                  <c:v>Deliveries</c:v>
                </c:pt>
                <c:pt idx="3">
                  <c:v>Surgeries</c:v>
                </c:pt>
              </c:strCache>
            </c:strRef>
          </c:cat>
          <c:val>
            <c:numRef>
              <c:f>Sheet1!$C$2:$C$5</c:f>
              <c:numCache>
                <c:formatCode>General</c:formatCode>
                <c:ptCount val="4"/>
                <c:pt idx="0">
                  <c:v>5147</c:v>
                </c:pt>
                <c:pt idx="1">
                  <c:v>26292</c:v>
                </c:pt>
                <c:pt idx="2">
                  <c:v>472</c:v>
                </c:pt>
                <c:pt idx="3">
                  <c:v>7284</c:v>
                </c:pt>
              </c:numCache>
            </c:numRef>
          </c:val>
          <c:extLst>
            <c:ext xmlns:c16="http://schemas.microsoft.com/office/drawing/2014/chart" uri="{C3380CC4-5D6E-409C-BE32-E72D297353CC}">
              <c16:uniqueId val="{00000001-7452-4994-ADA4-2671926BAC7F}"/>
            </c:ext>
          </c:extLst>
        </c:ser>
        <c:dLbls>
          <c:dLblPos val="outEnd"/>
          <c:showLegendKey val="0"/>
          <c:showVal val="1"/>
          <c:showCatName val="0"/>
          <c:showSerName val="0"/>
          <c:showPercent val="0"/>
          <c:showBubbleSize val="0"/>
        </c:dLbls>
        <c:gapWidth val="219"/>
        <c:overlap val="-27"/>
        <c:axId val="430446512"/>
        <c:axId val="330088752"/>
      </c:barChart>
      <c:catAx>
        <c:axId val="430446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595959"/>
                </a:solidFill>
                <a:latin typeface="+mn-lt"/>
                <a:ea typeface="+mn-ea"/>
                <a:cs typeface="+mn-cs"/>
              </a:defRPr>
            </a:pPr>
            <a:endParaRPr lang="en-US"/>
          </a:p>
        </c:txPr>
        <c:crossAx val="330088752"/>
        <c:crosses val="autoZero"/>
        <c:auto val="1"/>
        <c:lblAlgn val="ctr"/>
        <c:lblOffset val="100"/>
        <c:noMultiLvlLbl val="0"/>
      </c:catAx>
      <c:valAx>
        <c:axId val="3300887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595959"/>
                </a:solidFill>
                <a:latin typeface="+mn-lt"/>
                <a:ea typeface="+mn-ea"/>
                <a:cs typeface="+mn-cs"/>
              </a:defRPr>
            </a:pPr>
            <a:endParaRPr lang="en-US"/>
          </a:p>
        </c:txPr>
        <c:crossAx val="4304465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rgbClr val="595959"/>
              </a:solidFill>
              <a:latin typeface="+mn-lt"/>
              <a:ea typeface="+mn-ea"/>
              <a:cs typeface="+mn-cs"/>
            </a:defRPr>
          </a:pPr>
          <a:endParaRPr lang="en-US"/>
        </a:p>
      </c:txPr>
    </c:legend>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1"/>
          <c:order val="1"/>
          <c:tx>
            <c:strRef>
              <c:f>Sheet1!$B$1</c:f>
              <c:strCache>
                <c:ptCount val="1"/>
                <c:pt idx="0">
                  <c:v>Column2</c:v>
                </c:pt>
              </c:strCache>
            </c:strRef>
          </c:tx>
          <c:spPr>
            <a:solidFill>
              <a:srgbClr val="C6D9F0"/>
            </a:solidFill>
            <a:ln>
              <a:solidFill>
                <a:srgbClr val="FFFFFF"/>
              </a:solidFill>
            </a:ln>
          </c:spPr>
          <c:dLbls>
            <c:dLbl>
              <c:idx val="0"/>
              <c:layout>
                <c:manualLayout>
                  <c:x val="-0.20596816526966388"/>
                  <c:y val="-0.15178496572820485"/>
                </c:manualLayout>
              </c:layout>
              <c:tx>
                <c:rich>
                  <a:bodyPr/>
                  <a:lstStyle/>
                  <a:p>
                    <a:fld id="{D2F1D4A7-4410-4F3C-8F9A-D7B73381363E}" type="CATEGORYNAME">
                      <a:rPr lang="en-US"/>
                      <a:pPr/>
                      <a:t>[CATEGORY NAME]</a:t>
                    </a:fld>
                    <a:r>
                      <a:rPr lang="en-US" baseline="0"/>
                      <a:t> 52%</a:t>
                    </a:r>
                  </a:p>
                  <a:p>
                    <a:endParaRPr lang="en-US"/>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EC85-4244-B5D7-B1571A23C6E1}"/>
                </c:ext>
              </c:extLst>
            </c:dLbl>
            <c:dLbl>
              <c:idx val="1"/>
              <c:layout>
                <c:manualLayout>
                  <c:x val="0.1666268732537465"/>
                  <c:y val="-9.6162691893729113E-2"/>
                </c:manualLayout>
              </c:layout>
              <c:tx>
                <c:rich>
                  <a:bodyPr/>
                  <a:lstStyle/>
                  <a:p>
                    <a:fld id="{7C055884-4CD4-4E87-8B13-6F30A7944736}" type="CATEGORYNAME">
                      <a:rPr lang="en-US"/>
                      <a:pPr/>
                      <a:t>[CATEGORY NAME]</a:t>
                    </a:fld>
                    <a:r>
                      <a:rPr lang="en-US" baseline="0"/>
                      <a:t> </a:t>
                    </a:r>
                    <a:fld id="{C574A6FF-0B31-402C-B94D-1DB81E5AAAD3}"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EC85-4244-B5D7-B1571A23C6E1}"/>
                </c:ext>
              </c:extLst>
            </c:dLbl>
            <c:dLbl>
              <c:idx val="2"/>
              <c:layout>
                <c:manualLayout>
                  <c:x val="0.17375285750571501"/>
                  <c:y val="4.6986536754848089E-2"/>
                </c:manualLayout>
              </c:layout>
              <c:tx>
                <c:rich>
                  <a:bodyPr/>
                  <a:lstStyle/>
                  <a:p>
                    <a:fld id="{AC003586-C0A5-49DE-9F06-306F62D1D132}" type="CATEGORYNAME">
                      <a:rPr lang="en-US"/>
                      <a:pPr/>
                      <a:t>[CATEGORY NAME]</a:t>
                    </a:fld>
                    <a:r>
                      <a:rPr lang="en-US" baseline="0"/>
                      <a:t> </a:t>
                    </a:r>
                    <a:fld id="{D83B4359-62F5-4CEA-84F8-718ED416B4CC}"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EC85-4244-B5D7-B1571A23C6E1}"/>
                </c:ext>
              </c:extLst>
            </c:dLbl>
            <c:dLbl>
              <c:idx val="3"/>
              <c:layout>
                <c:manualLayout>
                  <c:x val="3.8238083142832953E-2"/>
                  <c:y val="0.19374912668290564"/>
                </c:manualLayout>
              </c:layout>
              <c:tx>
                <c:rich>
                  <a:bodyPr/>
                  <a:lstStyle/>
                  <a:p>
                    <a:fld id="{A26E41EB-2D4A-492A-A5AD-B57BE0FC9A16}" type="CATEGORYNAME">
                      <a:rPr lang="en-US"/>
                      <a:pPr/>
                      <a:t>[CATEGORY NAME]</a:t>
                    </a:fld>
                    <a:r>
                      <a:rPr lang="en-US" baseline="0"/>
                      <a:t> </a:t>
                    </a:r>
                    <a:fld id="{3E29BE5B-E188-46D3-B61D-1D2D4AD56A78}"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EC85-4244-B5D7-B1571A23C6E1}"/>
                </c:ext>
              </c:extLst>
            </c:dLbl>
            <c:spPr>
              <a:noFill/>
              <a:ln>
                <a:noFill/>
              </a:ln>
              <a:effectLst/>
            </c:spPr>
            <c:txPr>
              <a:bodyPr/>
              <a:lstStyle/>
              <a:p>
                <a:pPr>
                  <a:defRPr b="0">
                    <a:latin typeface="+mn-lt"/>
                  </a:defRPr>
                </a:pPr>
                <a:endParaRPr lang="en-US"/>
              </a:p>
            </c:txPr>
            <c:showLegendKey val="0"/>
            <c:showVal val="1"/>
            <c:showCatName val="1"/>
            <c:showSerName val="0"/>
            <c:showPercent val="0"/>
            <c:showBubbleSize val="0"/>
            <c:showLeaderLines val="0"/>
            <c:extLst>
              <c:ext xmlns:c15="http://schemas.microsoft.com/office/drawing/2012/chart" uri="{CE6537A1-D6FC-4f65-9D91-7224C49458BB}"/>
            </c:extLst>
          </c:dLbls>
          <c:cat>
            <c:numRef>
              <c:f>Sheet1!$A$2:$A$5</c:f>
              <c:numCache>
                <c:formatCode>General</c:formatCode>
                <c:ptCount val="4"/>
                <c:pt idx="0">
                  <c:v>96101</c:v>
                </c:pt>
                <c:pt idx="1">
                  <c:v>93921</c:v>
                </c:pt>
                <c:pt idx="2">
                  <c:v>92106</c:v>
                </c:pt>
                <c:pt idx="3">
                  <c:v>94963</c:v>
                </c:pt>
              </c:numCache>
            </c:numRef>
          </c:cat>
          <c:val>
            <c:numRef>
              <c:f>Sheet1!$B$2:$B$5</c:f>
              <c:numCache>
                <c:formatCode>0%</c:formatCode>
                <c:ptCount val="4"/>
                <c:pt idx="0">
                  <c:v>0.42</c:v>
                </c:pt>
                <c:pt idx="1">
                  <c:v>0.12</c:v>
                </c:pt>
                <c:pt idx="2">
                  <c:v>0.16</c:v>
                </c:pt>
                <c:pt idx="3">
                  <c:v>0.2</c:v>
                </c:pt>
              </c:numCache>
            </c:numRef>
          </c:val>
          <c:extLst>
            <c:ext xmlns:c16="http://schemas.microsoft.com/office/drawing/2014/chart" uri="{C3380CC4-5D6E-409C-BE32-E72D297353CC}">
              <c16:uniqueId val="{00000004-EC85-4244-B5D7-B1571A23C6E1}"/>
            </c:ext>
          </c:extLst>
        </c:ser>
        <c:ser>
          <c:idx val="0"/>
          <c:order val="0"/>
          <c:tx>
            <c:strRef>
              <c:f>Sheet1!$B$1</c:f>
              <c:strCache>
                <c:ptCount val="1"/>
                <c:pt idx="0">
                  <c:v>Column2</c:v>
                </c:pt>
              </c:strCache>
            </c:strRef>
          </c:tx>
          <c:spPr>
            <a:solidFill>
              <a:srgbClr val="C6D9F0"/>
            </a:solidFill>
            <a:ln>
              <a:solidFill>
                <a:schemeClr val="tx1"/>
              </a:solidFill>
            </a:ln>
          </c:spPr>
          <c:dPt>
            <c:idx val="0"/>
            <c:bubble3D val="0"/>
            <c:spPr>
              <a:solidFill>
                <a:srgbClr val="097ABF"/>
              </a:solidFill>
              <a:ln>
                <a:solidFill>
                  <a:schemeClr val="tx1"/>
                </a:solidFill>
              </a:ln>
            </c:spPr>
            <c:extLst>
              <c:ext xmlns:c16="http://schemas.microsoft.com/office/drawing/2014/chart" uri="{C3380CC4-5D6E-409C-BE32-E72D297353CC}">
                <c16:uniqueId val="{00000006-EC85-4244-B5D7-B1571A23C6E1}"/>
              </c:ext>
            </c:extLst>
          </c:dPt>
          <c:dLbls>
            <c:dLbl>
              <c:idx val="0"/>
              <c:layout>
                <c:manualLayout>
                  <c:x val="4.7593962845557523E-2"/>
                  <c:y val="-1.2481030180268849E-2"/>
                </c:manualLayout>
              </c:layout>
              <c:spPr/>
              <c:txPr>
                <a:bodyPr/>
                <a:lstStyle/>
                <a:p>
                  <a:pPr>
                    <a:defRPr b="1">
                      <a:solidFill>
                        <a:schemeClr val="bg1"/>
                      </a:solidFill>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C85-4244-B5D7-B1571A23C6E1}"/>
                </c:ext>
              </c:extLst>
            </c:dLbl>
            <c:dLbl>
              <c:idx val="1"/>
              <c:layout>
                <c:manualLayout>
                  <c:x val="1.3470824381581413E-2"/>
                  <c:y val="4.5649482179481476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C85-4244-B5D7-B1571A23C6E1}"/>
                </c:ext>
              </c:extLst>
            </c:dLbl>
            <c:dLbl>
              <c:idx val="2"/>
              <c:layout>
                <c:manualLayout>
                  <c:x val="-2.676043635946812E-2"/>
                  <c:y val="2.6406412381128506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C85-4244-B5D7-B1571A23C6E1}"/>
                </c:ext>
              </c:extLst>
            </c:dLbl>
            <c:dLbl>
              <c:idx val="3"/>
              <c:layout>
                <c:manualLayout>
                  <c:x val="2.5854374340998397E-3"/>
                  <c:y val="-2.5968704295169336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C85-4244-B5D7-B1571A23C6E1}"/>
                </c:ext>
              </c:extLst>
            </c:dLbl>
            <c:spPr>
              <a:noFill/>
              <a:ln>
                <a:noFill/>
              </a:ln>
              <a:effectLst/>
            </c:spPr>
            <c:txPr>
              <a:bodyPr/>
              <a:lstStyle/>
              <a:p>
                <a:pPr>
                  <a:defRPr b="1"/>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extLst>
          </c:dLbls>
          <c:cat>
            <c:numRef>
              <c:f>Sheet1!$A$2:$A$5</c:f>
              <c:numCache>
                <c:formatCode>General</c:formatCode>
                <c:ptCount val="4"/>
                <c:pt idx="0">
                  <c:v>96101</c:v>
                </c:pt>
                <c:pt idx="1">
                  <c:v>93921</c:v>
                </c:pt>
                <c:pt idx="2">
                  <c:v>92106</c:v>
                </c:pt>
                <c:pt idx="3">
                  <c:v>94963</c:v>
                </c:pt>
              </c:numCache>
            </c:numRef>
          </c:cat>
          <c:val>
            <c:numRef>
              <c:f>Sheet1!$B$2:$B$5</c:f>
              <c:numCache>
                <c:formatCode>0%</c:formatCode>
                <c:ptCount val="4"/>
                <c:pt idx="0">
                  <c:v>0.42</c:v>
                </c:pt>
                <c:pt idx="1">
                  <c:v>0.12</c:v>
                </c:pt>
                <c:pt idx="2">
                  <c:v>0.16</c:v>
                </c:pt>
                <c:pt idx="3">
                  <c:v>0.2</c:v>
                </c:pt>
              </c:numCache>
            </c:numRef>
          </c:val>
          <c:extLst>
            <c:ext xmlns:c16="http://schemas.microsoft.com/office/drawing/2014/chart" uri="{C3380CC4-5D6E-409C-BE32-E72D297353CC}">
              <c16:uniqueId val="{0000000A-EC85-4244-B5D7-B1571A23C6E1}"/>
            </c:ext>
          </c:extLst>
        </c:ser>
        <c:dLbls>
          <c:showLegendKey val="0"/>
          <c:showVal val="1"/>
          <c:showCatName val="0"/>
          <c:showSerName val="0"/>
          <c:showPercent val="0"/>
          <c:showBubbleSize val="0"/>
          <c:showLeaderLines val="0"/>
        </c:dLbls>
        <c:firstSliceAng val="39"/>
      </c:pieChart>
    </c:plotArea>
    <c:plotVisOnly val="1"/>
    <c:dispBlanksAs val="zero"/>
    <c:showDLblsOverMax val="0"/>
  </c:chart>
  <c:txPr>
    <a:bodyPr/>
    <a:lstStyle/>
    <a:p>
      <a:pPr>
        <a:defRPr sz="1000">
          <a:latin typeface="Calibri" pitchFamily="34" charset="0"/>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229788682558025"/>
          <c:y val="6.7708333333333329E-2"/>
          <c:w val="0.75540386803185433"/>
          <c:h val="0.86458333333333337"/>
        </c:manualLayout>
      </c:layout>
      <c:pieChart>
        <c:varyColors val="1"/>
        <c:ser>
          <c:idx val="0"/>
          <c:order val="0"/>
          <c:tx>
            <c:strRef>
              <c:f>Sheet1!$B$1</c:f>
              <c:strCache>
                <c:ptCount val="1"/>
                <c:pt idx="0">
                  <c:v>US Age Distribution 2010</c:v>
                </c:pt>
              </c:strCache>
            </c:strRef>
          </c:tx>
          <c:spPr>
            <a:ln>
              <a:solidFill>
                <a:sysClr val="window" lastClr="FFFFFF"/>
              </a:solidFill>
            </a:ln>
          </c:spPr>
          <c:dLbls>
            <c:dLbl>
              <c:idx val="0"/>
              <c:tx>
                <c:rich>
                  <a:bodyPr/>
                  <a:lstStyle/>
                  <a:p>
                    <a:fld id="{026BD97C-D4AD-4172-8CFF-836871D5CB17}" type="CATEGORYNAME">
                      <a:rPr lang="en-US"/>
                      <a:pPr/>
                      <a:t>[CATEGORY NAME]</a:t>
                    </a:fld>
                    <a:r>
                      <a:rPr lang="en-US" baseline="0"/>
                      <a:t> </a:t>
                    </a:r>
                    <a:fld id="{64F87661-B29F-452C-85E9-B0AF88ABA6A7}"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2A0A-4E6F-8933-2DE491A86E9E}"/>
                </c:ext>
              </c:extLst>
            </c:dLbl>
            <c:dLbl>
              <c:idx val="1"/>
              <c:tx>
                <c:rich>
                  <a:bodyPr/>
                  <a:lstStyle/>
                  <a:p>
                    <a:fld id="{4D798C95-E8AC-415B-8D81-304E7851D8B3}" type="CATEGORYNAME">
                      <a:rPr lang="en-US"/>
                      <a:pPr/>
                      <a:t>[CATEGORY NAME]</a:t>
                    </a:fld>
                    <a:r>
                      <a:rPr lang="en-US" baseline="0"/>
                      <a:t> </a:t>
                    </a:r>
                    <a:fld id="{F2F6E475-767D-4549-BCF5-43CBAEF9FA65}"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A0A-4E6F-8933-2DE491A86E9E}"/>
                </c:ext>
              </c:extLst>
            </c:dLbl>
            <c:dLbl>
              <c:idx val="2"/>
              <c:tx>
                <c:rich>
                  <a:bodyPr/>
                  <a:lstStyle/>
                  <a:p>
                    <a:fld id="{4726517E-9051-4BCD-BFCC-A0AA563B7571}" type="CATEGORYNAME">
                      <a:rPr lang="en-US"/>
                      <a:pPr/>
                      <a:t>[CATEGORY NAME]</a:t>
                    </a:fld>
                    <a:r>
                      <a:rPr lang="en-US" baseline="0"/>
                      <a:t> </a:t>
                    </a:r>
                    <a:fld id="{1EB46C81-0531-4589-8DFA-0EEE66DF905F}"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2A0A-4E6F-8933-2DE491A86E9E}"/>
                </c:ext>
              </c:extLst>
            </c:dLbl>
            <c:dLbl>
              <c:idx val="3"/>
              <c:layout>
                <c:manualLayout>
                  <c:x val="1.3651877133105781E-2"/>
                  <c:y val="4.0364583333333336E-2"/>
                </c:manualLayout>
              </c:layout>
              <c:tx>
                <c:rich>
                  <a:bodyPr/>
                  <a:lstStyle/>
                  <a:p>
                    <a:fld id="{10F3C43E-B0F6-4072-AA2D-9418A2065FA5}" type="CATEGORYNAME">
                      <a:rPr lang="en-US"/>
                      <a:pPr/>
                      <a:t>[CATEGORY NAME]</a:t>
                    </a:fld>
                    <a:r>
                      <a:rPr lang="en-US" baseline="0"/>
                      <a:t> </a:t>
                    </a:r>
                    <a:fld id="{5A461530-A1F4-401A-B71A-237843FA7CA6}"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layout>
                    <c:manualLayout>
                      <c:w val="0.23094425483503983"/>
                      <c:h val="0.14453125"/>
                    </c:manualLayout>
                  </c15:layout>
                  <c15:dlblFieldTable/>
                  <c15:showDataLabelsRange val="0"/>
                </c:ext>
                <c:ext xmlns:c16="http://schemas.microsoft.com/office/drawing/2014/chart" uri="{C3380CC4-5D6E-409C-BE32-E72D297353CC}">
                  <c16:uniqueId val="{00000003-2A0A-4E6F-8933-2DE491A86E9E}"/>
                </c:ext>
              </c:extLst>
            </c:dLbl>
            <c:dLbl>
              <c:idx val="4"/>
              <c:tx>
                <c:rich>
                  <a:bodyPr/>
                  <a:lstStyle/>
                  <a:p>
                    <a:fld id="{5EC0C98B-4DF4-4334-BCB3-17A0B5F195EC}" type="CATEGORYNAME">
                      <a:rPr lang="en-US"/>
                      <a:pPr/>
                      <a:t>[CATEGORY NAME]</a:t>
                    </a:fld>
                    <a:r>
                      <a:rPr lang="en-US" baseline="0"/>
                      <a:t> </a:t>
                    </a:r>
                    <a:fld id="{8060280E-46CE-4012-AA65-7D32C792F4A1}" type="VALUE">
                      <a:rPr lang="en-US" baseline="0"/>
                      <a:pPr/>
                      <a:t>[VALUE]</a:t>
                    </a:fld>
                    <a:endParaRPr lang="en-US" baseline="0"/>
                  </a:p>
                </c:rich>
              </c:tx>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2A0A-4E6F-8933-2DE491A86E9E}"/>
                </c:ext>
              </c:extLst>
            </c:dLbl>
            <c:spPr>
              <a:noFill/>
              <a:ln>
                <a:noFill/>
              </a:ln>
              <a:effectLst/>
            </c:spPr>
            <c:txPr>
              <a:bodyPr/>
              <a:lstStyle/>
              <a:p>
                <a:pPr>
                  <a:defRPr sz="900">
                    <a:solidFill>
                      <a:schemeClr val="tx1"/>
                    </a:solidFill>
                  </a:defRPr>
                </a:pPr>
                <a:endParaRPr lang="en-US"/>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Sheet1!$A$2:$A$6</c:f>
              <c:strCache>
                <c:ptCount val="5"/>
                <c:pt idx="0">
                  <c:v>Medicaid</c:v>
                </c:pt>
                <c:pt idx="1">
                  <c:v>Medicare</c:v>
                </c:pt>
                <c:pt idx="2">
                  <c:v>Commercial</c:v>
                </c:pt>
                <c:pt idx="3">
                  <c:v>Uninsured</c:v>
                </c:pt>
                <c:pt idx="4">
                  <c:v>Other</c:v>
                </c:pt>
              </c:strCache>
            </c:strRef>
          </c:cat>
          <c:val>
            <c:numRef>
              <c:f>Sheet1!$B$2:$B$6</c:f>
              <c:numCache>
                <c:formatCode>0%</c:formatCode>
                <c:ptCount val="5"/>
                <c:pt idx="0">
                  <c:v>0.35</c:v>
                </c:pt>
                <c:pt idx="1">
                  <c:v>0.3</c:v>
                </c:pt>
                <c:pt idx="2">
                  <c:v>0.24</c:v>
                </c:pt>
                <c:pt idx="3">
                  <c:v>0.09</c:v>
                </c:pt>
                <c:pt idx="4">
                  <c:v>0.02</c:v>
                </c:pt>
              </c:numCache>
            </c:numRef>
          </c:val>
          <c:extLst>
            <c:ext xmlns:c16="http://schemas.microsoft.com/office/drawing/2014/chart" uri="{C3380CC4-5D6E-409C-BE32-E72D297353CC}">
              <c16:uniqueId val="{00000005-2A0A-4E6F-8933-2DE491A86E9E}"/>
            </c:ext>
          </c:extLst>
        </c:ser>
        <c:dLbls>
          <c:showLegendKey val="0"/>
          <c:showVal val="0"/>
          <c:showCatName val="0"/>
          <c:showSerName val="0"/>
          <c:showPercent val="0"/>
          <c:showBubbleSize val="0"/>
          <c:showLeaderLines val="1"/>
        </c:dLbls>
        <c:firstSliceAng val="0"/>
      </c:pieChart>
    </c:plotArea>
    <c:plotVisOnly val="1"/>
    <c:dispBlanksAs val="zero"/>
    <c:showDLblsOverMax val="0"/>
  </c:chart>
  <c:txPr>
    <a:bodyPr/>
    <a:lstStyle/>
    <a:p>
      <a:pPr>
        <a:defRPr sz="1800"/>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5B9BD5"/>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DEBE-4CDE-A565-063DE3E341E8}"/>
              </c:ext>
            </c:extLst>
          </c:dPt>
          <c:dPt>
            <c:idx val="1"/>
            <c:bubble3D val="0"/>
            <c:spPr>
              <a:solidFill>
                <a:srgbClr val="A5A5A5"/>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DEBE-4CDE-A565-063DE3E341E8}"/>
              </c:ext>
            </c:extLst>
          </c:dPt>
          <c:dPt>
            <c:idx val="2"/>
            <c:bubble3D val="0"/>
            <c:spPr>
              <a:solidFill>
                <a:srgbClr val="1272C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DEBE-4CDE-A565-063DE3E341E8}"/>
              </c:ext>
            </c:extLst>
          </c:dPt>
          <c:dPt>
            <c:idx val="3"/>
            <c:bubble3D val="0"/>
            <c:spPr>
              <a:solidFill>
                <a:srgbClr val="255E91"/>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DEBE-4CDE-A565-063DE3E341E8}"/>
              </c:ext>
            </c:extLst>
          </c:dPt>
          <c:dPt>
            <c:idx val="4"/>
            <c:bubble3D val="0"/>
            <c:spPr>
              <a:solidFill>
                <a:srgbClr val="636363"/>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DEBE-4CDE-A565-063DE3E341E8}"/>
              </c:ext>
            </c:extLst>
          </c:dPt>
          <c:dLbls>
            <c:dLbl>
              <c:idx val="0"/>
              <c:spPr>
                <a:noFill/>
                <a:ln>
                  <a:noFill/>
                </a:ln>
                <a:effectLst/>
              </c:spPr>
              <c:txPr>
                <a:bodyPr rot="0" spcFirstLastPara="1" vertOverflow="ellipsis" vert="horz" wrap="square" lIns="38100" tIns="19050" rIns="38100" bIns="19050" anchor="ctr" anchorCtr="1">
                  <a:spAutoFit/>
                </a:bodyPr>
                <a:lstStyle/>
                <a:p>
                  <a:pPr>
                    <a:defRPr sz="700" b="1" i="0" u="none" strike="noStrike" kern="1200" spc="0" baseline="0">
                      <a:solidFill>
                        <a:srgbClr val="595959"/>
                      </a:solidFill>
                      <a:latin typeface="+mn-lt"/>
                      <a:ea typeface="+mn-ea"/>
                      <a:cs typeface="+mn-cs"/>
                    </a:defRPr>
                  </a:pPr>
                  <a:endParaRPr lang="en-US"/>
                </a:p>
              </c:txPr>
              <c:dLblPos val="outEnd"/>
              <c:showLegendKey val="0"/>
              <c:showVal val="0"/>
              <c:showCatName val="1"/>
              <c:showSerName val="0"/>
              <c:showPercent val="1"/>
              <c:showBubbleSize val="0"/>
              <c:extLst>
                <c:ext xmlns:c16="http://schemas.microsoft.com/office/drawing/2014/chart" uri="{C3380CC4-5D6E-409C-BE32-E72D297353CC}">
                  <c16:uniqueId val="{00000001-DEBE-4CDE-A565-063DE3E341E8}"/>
                </c:ext>
              </c:extLst>
            </c:dLbl>
            <c:dLbl>
              <c:idx val="1"/>
              <c:spPr>
                <a:noFill/>
                <a:ln>
                  <a:noFill/>
                </a:ln>
                <a:effectLst/>
              </c:spPr>
              <c:txPr>
                <a:bodyPr rot="0" spcFirstLastPara="1" vertOverflow="ellipsis" vert="horz" wrap="square" lIns="38100" tIns="19050" rIns="38100" bIns="19050" anchor="ctr" anchorCtr="1">
                  <a:spAutoFit/>
                </a:bodyPr>
                <a:lstStyle/>
                <a:p>
                  <a:pPr>
                    <a:defRPr sz="700" b="1" i="0" u="none" strike="noStrike" kern="1200" spc="0" baseline="0">
                      <a:solidFill>
                        <a:srgbClr val="595959"/>
                      </a:solidFill>
                      <a:latin typeface="+mn-lt"/>
                      <a:ea typeface="+mn-ea"/>
                      <a:cs typeface="+mn-cs"/>
                    </a:defRPr>
                  </a:pPr>
                  <a:endParaRPr lang="en-US"/>
                </a:p>
              </c:txPr>
              <c:dLblPos val="outEnd"/>
              <c:showLegendKey val="0"/>
              <c:showVal val="0"/>
              <c:showCatName val="1"/>
              <c:showSerName val="0"/>
              <c:showPercent val="1"/>
              <c:showBubbleSize val="0"/>
              <c:extLst>
                <c:ext xmlns:c16="http://schemas.microsoft.com/office/drawing/2014/chart" uri="{C3380CC4-5D6E-409C-BE32-E72D297353CC}">
                  <c16:uniqueId val="{00000003-DEBE-4CDE-A565-063DE3E341E8}"/>
                </c:ext>
              </c:extLst>
            </c:dLbl>
            <c:dLbl>
              <c:idx val="2"/>
              <c:spPr>
                <a:noFill/>
                <a:ln>
                  <a:noFill/>
                </a:ln>
                <a:effectLst/>
              </c:spPr>
              <c:txPr>
                <a:bodyPr rot="0" spcFirstLastPara="1" vertOverflow="ellipsis" vert="horz" wrap="square" lIns="38100" tIns="19050" rIns="38100" bIns="19050" anchor="ctr" anchorCtr="1">
                  <a:spAutoFit/>
                </a:bodyPr>
                <a:lstStyle/>
                <a:p>
                  <a:pPr>
                    <a:defRPr sz="700" b="1" i="0" u="none" strike="noStrike" kern="1200" spc="0" baseline="0">
                      <a:solidFill>
                        <a:srgbClr val="595959"/>
                      </a:solidFill>
                      <a:latin typeface="+mn-lt"/>
                      <a:ea typeface="+mn-ea"/>
                      <a:cs typeface="+mn-cs"/>
                    </a:defRPr>
                  </a:pPr>
                  <a:endParaRPr lang="en-US"/>
                </a:p>
              </c:txPr>
              <c:dLblPos val="outEnd"/>
              <c:showLegendKey val="0"/>
              <c:showVal val="0"/>
              <c:showCatName val="1"/>
              <c:showSerName val="0"/>
              <c:showPercent val="1"/>
              <c:showBubbleSize val="0"/>
              <c:extLst>
                <c:ext xmlns:c16="http://schemas.microsoft.com/office/drawing/2014/chart" uri="{C3380CC4-5D6E-409C-BE32-E72D297353CC}">
                  <c16:uniqueId val="{00000005-DEBE-4CDE-A565-063DE3E341E8}"/>
                </c:ext>
              </c:extLst>
            </c:dLbl>
            <c:dLbl>
              <c:idx val="3"/>
              <c:spPr>
                <a:noFill/>
                <a:ln>
                  <a:noFill/>
                </a:ln>
                <a:effectLst/>
              </c:spPr>
              <c:txPr>
                <a:bodyPr rot="0" spcFirstLastPara="1" vertOverflow="ellipsis" vert="horz" wrap="square" lIns="38100" tIns="19050" rIns="38100" bIns="19050" anchor="ctr" anchorCtr="1">
                  <a:spAutoFit/>
                </a:bodyPr>
                <a:lstStyle/>
                <a:p>
                  <a:pPr>
                    <a:defRPr sz="700" b="1" i="0" u="none" strike="noStrike" kern="1200" spc="0" baseline="0">
                      <a:solidFill>
                        <a:srgbClr val="595959"/>
                      </a:solidFill>
                      <a:latin typeface="+mn-lt"/>
                      <a:ea typeface="+mn-ea"/>
                      <a:cs typeface="+mn-cs"/>
                    </a:defRPr>
                  </a:pPr>
                  <a:endParaRPr lang="en-US"/>
                </a:p>
              </c:txPr>
              <c:dLblPos val="outEnd"/>
              <c:showLegendKey val="0"/>
              <c:showVal val="0"/>
              <c:showCatName val="1"/>
              <c:showSerName val="0"/>
              <c:showPercent val="1"/>
              <c:showBubbleSize val="0"/>
              <c:extLst>
                <c:ext xmlns:c16="http://schemas.microsoft.com/office/drawing/2014/chart" uri="{C3380CC4-5D6E-409C-BE32-E72D297353CC}">
                  <c16:uniqueId val="{00000007-DEBE-4CDE-A565-063DE3E341E8}"/>
                </c:ext>
              </c:extLst>
            </c:dLbl>
            <c:dLbl>
              <c:idx val="4"/>
              <c:spPr>
                <a:noFill/>
                <a:ln>
                  <a:noFill/>
                </a:ln>
                <a:effectLst/>
              </c:spPr>
              <c:txPr>
                <a:bodyPr rot="0" spcFirstLastPara="1" vertOverflow="ellipsis" vert="horz" wrap="square" lIns="38100" tIns="19050" rIns="38100" bIns="19050" anchor="ctr" anchorCtr="1">
                  <a:spAutoFit/>
                </a:bodyPr>
                <a:lstStyle/>
                <a:p>
                  <a:pPr>
                    <a:defRPr sz="700" b="1" i="0" u="none" strike="noStrike" kern="1200" spc="0" baseline="0">
                      <a:solidFill>
                        <a:srgbClr val="595959"/>
                      </a:solidFill>
                      <a:latin typeface="+mn-lt"/>
                      <a:ea typeface="+mn-ea"/>
                      <a:cs typeface="+mn-cs"/>
                    </a:defRPr>
                  </a:pPr>
                  <a:endParaRPr lang="en-US"/>
                </a:p>
              </c:txPr>
              <c:dLblPos val="outEnd"/>
              <c:showLegendKey val="0"/>
              <c:showVal val="0"/>
              <c:showCatName val="1"/>
              <c:showSerName val="0"/>
              <c:showPercent val="1"/>
              <c:showBubbleSize val="0"/>
              <c:extLst>
                <c:ext xmlns:c16="http://schemas.microsoft.com/office/drawing/2014/chart" uri="{C3380CC4-5D6E-409C-BE32-E72D297353CC}">
                  <c16:uniqueId val="{00000009-DEBE-4CDE-A565-063DE3E341E8}"/>
                </c:ext>
              </c:extLst>
            </c:dLbl>
            <c:spPr>
              <a:noFill/>
              <a:ln>
                <a:noFill/>
              </a:ln>
              <a:effectLst/>
            </c:spPr>
            <c:txPr>
              <a:bodyPr rot="0" spcFirstLastPara="1" vertOverflow="ellipsis" vert="horz" wrap="square" lIns="38100" tIns="19050" rIns="38100" bIns="19050" anchor="ctr" anchorCtr="1">
                <a:spAutoFit/>
              </a:bodyPr>
              <a:lstStyle/>
              <a:p>
                <a:pPr>
                  <a:defRPr sz="700" b="1" i="0" u="none" strike="noStrike" kern="1200" spc="0" baseline="0">
                    <a:solidFill>
                      <a:schemeClr val="tx1"/>
                    </a:solidFill>
                    <a:latin typeface="+mn-lt"/>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Sheet1!$A$1:$A$5</c:f>
              <c:strCache>
                <c:ptCount val="5"/>
                <c:pt idx="0">
                  <c:v>Medicare</c:v>
                </c:pt>
                <c:pt idx="1">
                  <c:v>Medicaid</c:v>
                </c:pt>
                <c:pt idx="2">
                  <c:v>Commercial</c:v>
                </c:pt>
                <c:pt idx="3">
                  <c:v>Uninsured</c:v>
                </c:pt>
                <c:pt idx="4">
                  <c:v>Other</c:v>
                </c:pt>
              </c:strCache>
            </c:strRef>
          </c:cat>
          <c:val>
            <c:numRef>
              <c:f>Sheet1!$B$1:$B$5</c:f>
              <c:numCache>
                <c:formatCode>General</c:formatCode>
                <c:ptCount val="5"/>
                <c:pt idx="0">
                  <c:v>38</c:v>
                </c:pt>
                <c:pt idx="1">
                  <c:v>24</c:v>
                </c:pt>
                <c:pt idx="2">
                  <c:v>32</c:v>
                </c:pt>
                <c:pt idx="3">
                  <c:v>4</c:v>
                </c:pt>
                <c:pt idx="4">
                  <c:v>2</c:v>
                </c:pt>
              </c:numCache>
            </c:numRef>
          </c:val>
          <c:extLst>
            <c:ext xmlns:c16="http://schemas.microsoft.com/office/drawing/2014/chart" uri="{C3380CC4-5D6E-409C-BE32-E72D297353CC}">
              <c16:uniqueId val="{0000000A-DEBE-4CDE-A565-063DE3E341E8}"/>
            </c:ext>
          </c:extLst>
        </c:ser>
        <c:dLbls>
          <c:dLblPos val="outEnd"/>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2010 ABC Theme Colors">
    <a:dk1>
      <a:srgbClr val="000000"/>
    </a:dk1>
    <a:lt1>
      <a:srgbClr val="FFFFFF"/>
    </a:lt1>
    <a:dk2>
      <a:srgbClr val="097ABF"/>
    </a:dk2>
    <a:lt2>
      <a:srgbClr val="BFBFBF"/>
    </a:lt2>
    <a:accent1>
      <a:srgbClr val="C6D9F0"/>
    </a:accent1>
    <a:accent2>
      <a:srgbClr val="74B0E2"/>
    </a:accent2>
    <a:accent3>
      <a:srgbClr val="097ABF"/>
    </a:accent3>
    <a:accent4>
      <a:srgbClr val="1D4F7D"/>
    </a:accent4>
    <a:accent5>
      <a:srgbClr val="000000"/>
    </a:accent5>
    <a:accent6>
      <a:srgbClr val="9E0000"/>
    </a:accent6>
    <a:hlink>
      <a:srgbClr val="000000"/>
    </a:hlink>
    <a:folHlink>
      <a:srgbClr val="000000"/>
    </a:folHlink>
  </a:clrScheme>
  <a:fontScheme name="2010 ABC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2010 ABC Theme Colors">
    <a:dk1>
      <a:srgbClr val="000000"/>
    </a:dk1>
    <a:lt1>
      <a:srgbClr val="FFFFFF"/>
    </a:lt1>
    <a:dk2>
      <a:srgbClr val="097ABF"/>
    </a:dk2>
    <a:lt2>
      <a:srgbClr val="BFBFBF"/>
    </a:lt2>
    <a:accent1>
      <a:srgbClr val="C6D9F0"/>
    </a:accent1>
    <a:accent2>
      <a:srgbClr val="74B0E2"/>
    </a:accent2>
    <a:accent3>
      <a:srgbClr val="097ABF"/>
    </a:accent3>
    <a:accent4>
      <a:srgbClr val="1D4F7D"/>
    </a:accent4>
    <a:accent5>
      <a:srgbClr val="000000"/>
    </a:accent5>
    <a:accent6>
      <a:srgbClr val="9E0000"/>
    </a:accent6>
    <a:hlink>
      <a:srgbClr val="000000"/>
    </a:hlink>
    <a:folHlink>
      <a:srgbClr val="000000"/>
    </a:folHlink>
  </a:clrScheme>
  <a:fontScheme name="2010 ABC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F6D4D3DD27084E836F342DB930E1AB" ma:contentTypeVersion="5" ma:contentTypeDescription="Create a new document." ma:contentTypeScope="" ma:versionID="13f2bf6b0871660e1491658da6d412ff">
  <xsd:schema xmlns:xsd="http://www.w3.org/2001/XMLSchema" xmlns:xs="http://www.w3.org/2001/XMLSchema" xmlns:p="http://schemas.microsoft.com/office/2006/metadata/properties" xmlns:ns3="9fbc2781-cc36-4aa1-94ba-91b8e8827fdb" targetNamespace="http://schemas.microsoft.com/office/2006/metadata/properties" ma:root="true" ma:fieldsID="77fba5f377d9cbabe0bbb5f8d5e67300" ns3:_="">
    <xsd:import namespace="9fbc2781-cc36-4aa1-94ba-91b8e8827fd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bc2781-cc36-4aa1-94ba-91b8e8827f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655240-7A34-46CD-87CF-8DC44F7D5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bc2781-cc36-4aa1-94ba-91b8e8827f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970FAD-DFA5-4563-AB11-E96804982632}">
  <ds:schemaRefs>
    <ds:schemaRef ds:uri="http://schemas.microsoft.com/sharepoint/v3/contenttype/forms"/>
  </ds:schemaRefs>
</ds:datastoreItem>
</file>

<file path=customXml/itemProps3.xml><?xml version="1.0" encoding="utf-8"?>
<ds:datastoreItem xmlns:ds="http://schemas.openxmlformats.org/officeDocument/2006/customXml" ds:itemID="{8A74D8E0-601A-49F1-A86E-D42B0F56B686}">
  <ds:schemaRefs>
    <ds:schemaRef ds:uri="http://purl.org/dc/terms/"/>
    <ds:schemaRef ds:uri="http://purl.org/dc/dcmitype/"/>
    <ds:schemaRef ds:uri="http://schemas.microsoft.com/office/2006/metadata/properties"/>
    <ds:schemaRef ds:uri="http://purl.org/dc/elements/1.1/"/>
    <ds:schemaRef ds:uri="http://schemas.microsoft.com/office/2006/documentManagement/types"/>
    <ds:schemaRef ds:uri="9fbc2781-cc36-4aa1-94ba-91b8e8827fdb"/>
    <ds:schemaRef ds:uri="http://www.w3.org/XML/1998/namespac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1214</Words>
  <Characters>6741</Characters>
  <Application>Microsoft Office Word</Application>
  <DocSecurity>0</DocSecurity>
  <Lines>240</Lines>
  <Paragraphs>162</Paragraphs>
  <ScaleCrop>false</ScaleCrop>
  <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Johnson</dc:creator>
  <cp:keywords/>
  <dc:description/>
  <cp:lastModifiedBy>Crystal Johnson</cp:lastModifiedBy>
  <cp:revision>1</cp:revision>
  <dcterms:created xsi:type="dcterms:W3CDTF">2024-09-04T17:31:00Z</dcterms:created>
  <dcterms:modified xsi:type="dcterms:W3CDTF">2024-09-04T17:32:00Z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0x010100A4F6D4D3DD27084E836F342DB930E1AB</vt:lpwstr>
  </property>
</Properties>
</file>